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0070C0"/>
  <w:body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>工 程 概 况 牌</w:t>
      </w:r>
    </w:p>
    <w:p>
      <w:pPr>
        <w:jc w:val="center"/>
        <w:rPr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tbl>
      <w:tblPr>
        <w:tblStyle w:val="4"/>
        <w:tblW w:w="8296" w:type="dxa"/>
        <w:jc w:val="center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033"/>
      </w:tblGrid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项目名称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建设单位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设计单位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监理单位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施工单位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安全责任人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rFonts w:hint="default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现场负责人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rFonts w:hint="default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监理联系人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rFonts w:hint="default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基建办联系人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开、竣工日期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1" w:hRule="atLeast"/>
          <w:jc w:val="center"/>
        </w:trPr>
        <w:tc>
          <w:tcPr>
            <w:tcW w:w="2263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工程内容</w:t>
            </w:r>
          </w:p>
        </w:tc>
        <w:tc>
          <w:tcPr>
            <w:tcW w:w="6033" w:type="dxa"/>
            <w:shd w:val="clear" w:color="auto" w:fill="auto"/>
          </w:tcPr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jc w:val="center"/>
        <w:rPr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rPr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 xml:space="preserve"> </w:t>
      </w:r>
    </w:p>
    <w:p>
      <w:pPr>
        <w:jc w:val="center"/>
        <w:rPr>
          <w:rFonts w:ascii="Calibri" w:hAnsi="宋体" w:eastAsia="宋体" w:cs="Times New Roman"/>
          <w:color w:val="FFFFFF" w:themeColor="background1"/>
          <w:szCs w:val="20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ascii="Calibri" w:hAnsi="宋体" w:eastAsia="宋体" w:cs="Times New Roman"/>
          <w:color w:val="FFFFFF" w:themeColor="background1"/>
          <w:szCs w:val="20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ascii="Calibri" w:hAnsi="宋体" w:eastAsia="宋体" w:cs="Times New Roman"/>
          <w:color w:val="FFFFFF" w:themeColor="background1"/>
          <w:szCs w:val="20"/>
          <w14:textFill>
            <w14:solidFill>
              <w14:schemeClr w14:val="bg1"/>
            </w14:solidFill>
          </w14:textFill>
        </w:rPr>
      </w:pPr>
    </w:p>
    <w:p>
      <w:pPr>
        <w:rPr>
          <w:rFonts w:ascii="Calibri" w:hAnsi="宋体" w:eastAsia="宋体" w:cs="Times New Roman"/>
          <w:szCs w:val="20"/>
        </w:rPr>
      </w:pPr>
    </w:p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 xml:space="preserve">文 明 施 工 管 理 牌 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一、施工现场各级管理人员，必须做好现场的各项管理工作，确保场容整齐、清洁、卫生、安全、防火道路通畅，防止污染。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二、现场办公室、会议室挂设各种规章制度，管理网络和相关的活动班表。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三、施工现场按施工组织设计平面布置图布置材料和机具设备，做到材料、设备堆放整齐有序。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四、现场垃圾分别在指定的垃圾点堆放，做到不乱扔材料及杂物，及时清理零散物料及建筑垃圾。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五、临时占用通道必须到有关部门办理有关手续。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六、施工现场应排水通畅，使现场内无污水、无污物、废水不乱流。现场应设置男女厕所、排污、排便等设施。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七、按施工组织设计平面布置图布置电路、给排水线路，做到水管不漏水，电线不漏电，且禁止乱拉乱接电线。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八、施工现场应设置宣传牌、警示牌、指示牌等，做到统一化、标准化。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九、施工作业不准赤脚、穿拖鞋，严禁酒后上岗作业。严禁在工地内进行吸毒、嫖娼、赌博、斗殴、盗窃等”七害“活动，违者交公安机关处理。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十、夜间施工必须经主管部门批准，公开告示，取得社会谅解，方可施工。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十一、施工现场应遵守国家有关环保法规。采取控制现场的各种灰尘、废物排放、固体废物处理及噪声和振动时环境保护的措施。</w:t>
      </w:r>
    </w:p>
    <w:p>
      <w:pPr>
        <w:spacing w:line="560" w:lineRule="exact"/>
        <w:ind w:firstLine="2249" w:firstLineChars="7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凡违反上述纪律，按规定给予处罚。</w:t>
      </w:r>
    </w:p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>安 全 纪 律 牌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一、进入施工现场必须遵守各项安全生产规章制度。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二、进入现场，必须戴好安全帽，扣好帽带，并正确使用个人劳动防护用品。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三、两米以上的高处、悬空作业，无安全设施的，必须戴好安全带、扣好保险钩。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四、工程的楼梯出口，通道口，必须由防护设备。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五、施工现场不准赤脚、不准穿拖鞋、高跟鞋、喇叭裤。高处作业不准穿硬底鞋或带钉易滑的鞋靴。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六、操作前不准喝酒，不准在施工现场打闹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七、非有关操作人员不准挤入危险区域，不准带小孩进入施工现场。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八、不是电器和机械班组的人员，严禁使用和玩弄机电设备。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九、未经施工负责人批准，不准任意拆除防护设施及安全装置。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十、不准从高处向下抛掷任何材料工具等物件。</w:t>
      </w:r>
    </w:p>
    <w:p>
      <w:pPr>
        <w:spacing w:line="600" w:lineRule="exact"/>
        <w:ind w:firstLine="2249" w:firstLineChars="7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凡违反上述纪律，按规定给予处罚。</w:t>
      </w: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spacing w:line="6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spacing w:line="600" w:lineRule="exact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>工 程 管 理 制 度 牌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为了确保本工程的顺利进行，按期保质保量的完成工程施工任务，公司特制定以下管理制度，望广大员工共同遵守切实执行。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一、本工地的所有员工必须遵守本公司制定的规章制度，听从公司管理人员的指挥和安排，服从建设单位、监理单位工程质量监督部门及相关部门的指导、检查。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二、认真遵守《中华人民共和国建筑法》、遵守《中华人民共和国标准化实施条例》和《建设工程质量管理条例》争做奉献求实、爱岗敬业、遵章守法的文明先进员工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三、严禁打架斗殴、赌博和涉黄，若有违反者，不论情由，均处以1000元罚款，其医药费等自理后公司再做处理。情节严重者，送交公安、司法部门处理。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四、爱护公物，人人有责。對有意损害公共财物者，赔偿原物价值的200%，对按操作规程操作，无意损坏者赔偿其原物价的50%。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五、工地所有员工必须树立安全第一的思想，严格按照各项安全施工要求执行并操作，坚持预防为主、消防结合的原则，杜绝火种，火源进入施工现场。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六、遵纪守法、文明施工。严禁在本工地、建设单位、相邻单位及他人处盗窃财物或活动外界人员盗窃本地财物，若有发现，不问情由均处以1000元以上罚款或处以原价值的20倍以上罚款、情节严重者送交公安、司法部门处理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七、工地应做到文明施工，要求同事之间文明用语，搞好自身卫生及环境卫生，施工现场应保持卫生良好，施工机械设备及现场材料布局井井有条，做好工地容貌完全符合文明工地的标准。降温米礼貌，树良好风气。</w:t>
      </w:r>
    </w:p>
    <w:p>
      <w:pPr>
        <w:spacing w:line="500" w:lineRule="exact"/>
        <w:ind w:firstLine="643" w:firstLineChars="200"/>
        <w:jc w:val="left"/>
        <w:rPr>
          <w:rFonts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32"/>
          <w:szCs w:val="32"/>
          <w14:textFill>
            <w14:solidFill>
              <w14:schemeClr w14:val="bg1"/>
            </w14:solidFill>
          </w14:textFill>
        </w:rPr>
        <w:t>多谢合作！</w:t>
      </w:r>
    </w:p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  <w:t>施 工 平 面 布 置 图</w:t>
      </w: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</w:p>
    <w:p>
      <w:pPr>
        <w:ind w:firstLine="1600" w:firstLineChars="500"/>
        <w:jc w:val="left"/>
        <w:rPr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EC"/>
    <w:rsid w:val="0001116C"/>
    <w:rsid w:val="001056EB"/>
    <w:rsid w:val="00424EC6"/>
    <w:rsid w:val="006E39EC"/>
    <w:rsid w:val="006E5B8F"/>
    <w:rsid w:val="00790690"/>
    <w:rsid w:val="007F150A"/>
    <w:rsid w:val="0085625F"/>
    <w:rsid w:val="008731AE"/>
    <w:rsid w:val="008E0A06"/>
    <w:rsid w:val="00A74725"/>
    <w:rsid w:val="00AE49A2"/>
    <w:rsid w:val="00B007E7"/>
    <w:rsid w:val="00CC37EA"/>
    <w:rsid w:val="00D45492"/>
    <w:rsid w:val="00DB3623"/>
    <w:rsid w:val="00E21407"/>
    <w:rsid w:val="4E38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绿色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1399</Characters>
  <Lines>11</Lines>
  <Paragraphs>3</Paragraphs>
  <TotalTime>54</TotalTime>
  <ScaleCrop>false</ScaleCrop>
  <LinksUpToDate>false</LinksUpToDate>
  <CharactersWithSpaces>1641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2018-10-24T09:26:00Z</dcterms:created>
  <dc:creator>邱德光</dc:creator>
  <cp:lastModifiedBy>Administrator</cp:lastModifiedBy>
  <cp:lastPrinted>2018-10-24T07:50:00Z</cp:lastPrinted>
  <dcterms:modified xsi:type="dcterms:W3CDTF">2019-05-20T08:07:57Z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