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1.项目名称：电子系感应耦合等离子体刻蚀机采购项目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2.招标编号：SUSTech-2020-103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3.开标日期：2020年07月02日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5.开标情况：详见附件《开标一览表》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何凤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杨春林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邱德光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化梦媛</w:t>
            </w:r>
          </w:p>
        </w:tc>
      </w:tr>
    </w:tbl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7.投标供应商及投标报价</w:t>
      </w:r>
    </w:p>
    <w:tbl>
      <w:tblPr>
        <w:tblStyle w:val="6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525"/>
        <w:gridCol w:w="22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5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2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深圳市立达方圆物料供应有限公司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3597000.00 </w:t>
            </w:r>
          </w:p>
        </w:tc>
        <w:tc>
          <w:tcPr>
            <w:tcW w:w="16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95.86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2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百诺纳（深圳）科技有限公司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3592000.00 </w:t>
            </w:r>
          </w:p>
        </w:tc>
        <w:tc>
          <w:tcPr>
            <w:tcW w:w="16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79.30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52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深圳市弈信达生物科技有限公司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3580000.00 </w:t>
            </w:r>
          </w:p>
        </w:tc>
        <w:tc>
          <w:tcPr>
            <w:tcW w:w="16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79.00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6"/>
        <w:tblW w:w="12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90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90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深圳市立达方圆物料供应有限公司</w:t>
            </w:r>
          </w:p>
        </w:tc>
        <w:tc>
          <w:tcPr>
            <w:tcW w:w="490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深圳市南山区桃源街道塘朗社区塘益路塘朗工业B区集悦城9栋111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3597000.00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9.中标货物明细</w:t>
      </w:r>
    </w:p>
    <w:tbl>
      <w:tblPr>
        <w:tblStyle w:val="6"/>
        <w:tblW w:w="122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3500"/>
        <w:gridCol w:w="965"/>
        <w:gridCol w:w="2139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7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  <w:t>货物名称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单价（元）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zh-CN"/>
              </w:rPr>
              <w:t>感应耦合等离子体刻蚀机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Oxford Instruments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/PlasmaPro 100 Cobra 300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3597000.00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签订合同后150天内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附件：《开标一览表》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电子系感应耦合等离子体刻蚀机采购项目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SUSTech-2020-103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2020年07月02日1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3,600,000.00元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设备免费保修期：设备免费保修1年。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百诺纳（深圳）科技有限公司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3592000.00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深圳市弈信达生物科技有限公司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3580000.00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深圳市立达方圆物料供应有限公司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3597000.00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80864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81395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01E15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4672B0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9BF307E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2020-07-02T08:47:49Z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