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1.项目名称：前沿与交叉研究院原位X-射线衍射仪采购项目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2.招标编号：SUSTech-2020-096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任富增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黄丽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张利君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贾伊娜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李帅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评审情况：</w:t>
      </w:r>
    </w:p>
    <w:p>
      <w:pPr>
        <w:pStyle w:val="5"/>
        <w:widowControl/>
        <w:numPr>
          <w:numId w:val="0"/>
        </w:numPr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深圳市赛飞商贸有限公司的《商务条款响应/偏离表》对免费保修期的响应为3年，投标文件售后服务计划对免费保修期的响应为1年，前后响应不一致，评标小组一致认定为不满足招标文件免费保修期的要求，符合性检查不通过；投标人百诺纳（深圳）科技有限公司的《商务条款响应/偏离表》对免费保修期的响应为3年，投标文件售后服务计划、厂家售后服务方案对免费保修期的响应均为12个月，前后响应不一致，评标小组一致认定为不满足招标文件免费保修期的要求，符合性检查不通过；仅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投标人上海思百吉仪器系统有限公司的投标文件通过了符合性检查。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95" w:type="dxa"/>
            <w:gridSpan w:val="3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因作出有效投标的供应商不足法定数量，本项目无中标（成交）供应商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737" w:right="1020" w:bottom="737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569F4D"/>
    <w:multiLevelType w:val="singleLevel"/>
    <w:tmpl w:val="BF569F4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AFD2537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E506BB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B945BFD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2020-06-08T08:33:03Z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