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1.项目名称：材料系近红外二区小动物荧光成像系统采购项目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2.招标编号：SUSTech-2020-062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3.开标日期：2020年05月13日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权泽卫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刘东海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马旭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杨庭斌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刘春晨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9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4566"/>
        <w:gridCol w:w="199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名次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供应商名称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投标报价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Cs w:val="28"/>
                <w:highlight w:val="none"/>
              </w:rPr>
              <w:t>第一名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北京睿光科技有限责任公司</w:t>
            </w:r>
          </w:p>
        </w:tc>
        <w:tc>
          <w:tcPr>
            <w:tcW w:w="199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1600000.00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96.80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Cs w:val="28"/>
                <w:highlight w:val="none"/>
              </w:rPr>
              <w:t>第二名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广东省中科进出口有限公司</w:t>
            </w:r>
          </w:p>
        </w:tc>
        <w:tc>
          <w:tcPr>
            <w:tcW w:w="199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1938000.00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93.17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Cs w:val="28"/>
                <w:highlight w:val="none"/>
              </w:rPr>
              <w:t>第三名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广州大穗科技有限公司</w:t>
            </w:r>
          </w:p>
        </w:tc>
        <w:tc>
          <w:tcPr>
            <w:tcW w:w="199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1948000.00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81.84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2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640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6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640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3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6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北京睿光科技有限责任公司</w:t>
            </w:r>
          </w:p>
        </w:tc>
        <w:tc>
          <w:tcPr>
            <w:tcW w:w="640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北京市朝阳区农展馆南路5号12层1201内1210</w:t>
            </w:r>
            <w:bookmarkStart w:id="0" w:name="_GoBack"/>
            <w:bookmarkEnd w:id="0"/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1600000.00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22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9"/>
        <w:gridCol w:w="3392"/>
        <w:gridCol w:w="1006"/>
        <w:gridCol w:w="1923"/>
        <w:gridCol w:w="1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17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  <w:t>货物名称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货物品牌及型号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单价（元）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1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  <w:t>近红外二区小动物荧光成像系统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  <w:t>品牌：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睿光科技RayLight</w:t>
            </w:r>
          </w:p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  <w:t>型号：</w:t>
            </w: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NirVivo-Pro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1600000.00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签订合同后180天内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3E199B"/>
    <w:rsid w:val="044D20AA"/>
    <w:rsid w:val="04D677ED"/>
    <w:rsid w:val="04F412AC"/>
    <w:rsid w:val="05AF792D"/>
    <w:rsid w:val="05BB5062"/>
    <w:rsid w:val="06713763"/>
    <w:rsid w:val="06A8173D"/>
    <w:rsid w:val="07014065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5EE78AD"/>
    <w:rsid w:val="265056D7"/>
    <w:rsid w:val="26930A7A"/>
    <w:rsid w:val="26CA24E9"/>
    <w:rsid w:val="27050A35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2020-05-13T07:58:47Z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