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1.项目名称：力学系超算机时租赁服务采购项目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3.开标日期：2020年04月27日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许必海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申慧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马旭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何继阳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757"/>
        <w:gridCol w:w="215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投标报价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北京并行科技股份有限公司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595000.00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91.80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广州安世亚太信息科技有限公司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599250.00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62.39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广州海智云科技有限公司</w:t>
            </w:r>
          </w:p>
        </w:tc>
        <w:tc>
          <w:tcPr>
            <w:tcW w:w="215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597550.00 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57.47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7050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96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70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378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67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北京并行科技股份有限公司</w:t>
            </w:r>
          </w:p>
        </w:tc>
        <w:tc>
          <w:tcPr>
            <w:tcW w:w="70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北京市海淀区西北旺东路10号院东区21号楼101-301</w:t>
            </w:r>
          </w:p>
        </w:tc>
        <w:tc>
          <w:tcPr>
            <w:tcW w:w="2378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595000.00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8.服务内容</w:t>
      </w:r>
    </w:p>
    <w:tbl>
      <w:tblPr>
        <w:tblStyle w:val="6"/>
        <w:tblW w:w="124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7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47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highlight w:val="none"/>
                <w:lang w:val="en-US" w:eastAsia="zh-CN"/>
              </w:rPr>
              <w:t>服务内容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highlight w:val="none"/>
                <w:lang w:val="en-US" w:eastAsia="zh-CN"/>
              </w:rPr>
              <w:t>项目工期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47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  <w:lang w:val="zh-CN"/>
              </w:rPr>
              <w:t>超算机时租赁服务</w:t>
            </w:r>
          </w:p>
        </w:tc>
        <w:tc>
          <w:tcPr>
            <w:tcW w:w="7950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hint="default" w:ascii="仿宋" w:hAnsi="仿宋" w:eastAsia="仿宋"/>
                <w:color w:val="00000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Cs w:val="28"/>
                <w:highlight w:val="none"/>
                <w:lang w:val="en-US" w:eastAsia="zh-CN"/>
              </w:rPr>
              <w:t>签订合同后【</w:t>
            </w: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/>
                <w:color w:val="000000"/>
                <w:szCs w:val="28"/>
                <w:highlight w:val="none"/>
                <w:lang w:val="en-US" w:eastAsia="zh-CN"/>
              </w:rPr>
              <w:t>】日内开放超算使用权限，至机时使用完毕为止。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4352B5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CA43AB7"/>
    <w:rsid w:val="0CAD3D32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DA51CA"/>
    <w:rsid w:val="0FFC7D50"/>
    <w:rsid w:val="10A62C52"/>
    <w:rsid w:val="10C974BB"/>
    <w:rsid w:val="11992AE5"/>
    <w:rsid w:val="119B49A8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7CF0CA3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7D25B4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1748EF"/>
    <w:rsid w:val="68C1465C"/>
    <w:rsid w:val="68E11D1F"/>
    <w:rsid w:val="6958744F"/>
    <w:rsid w:val="695B588D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2020-04-27T08:07:26Z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