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1.项目名称：高性能计算系统运维服务采购项目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2.招标编号：SUSTech-2020-018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3.开标日期：2020年04月23日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杨胜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裘文慧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温嘉惟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许必海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谢作扬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4757"/>
        <w:gridCol w:w="2155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56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56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深圳市傲冠软件股份有限公司</w:t>
            </w:r>
          </w:p>
        </w:tc>
        <w:tc>
          <w:tcPr>
            <w:tcW w:w="215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247920.00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94.33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56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深圳市卫途信息技术有限公司</w:t>
            </w:r>
          </w:p>
        </w:tc>
        <w:tc>
          <w:tcPr>
            <w:tcW w:w="215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242400.00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74.00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56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深圳市中地软件工程有限公司</w:t>
            </w:r>
          </w:p>
        </w:tc>
        <w:tc>
          <w:tcPr>
            <w:tcW w:w="215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249600.00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68.13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756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5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756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1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5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深圳市傲冠软件股份有限公司</w:t>
            </w:r>
          </w:p>
        </w:tc>
        <w:tc>
          <w:tcPr>
            <w:tcW w:w="756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深圳市福田区深南大道与泰然九路交界东南本元大厦16B</w:t>
            </w:r>
            <w:bookmarkStart w:id="0" w:name="_GoBack"/>
            <w:bookmarkEnd w:id="0"/>
          </w:p>
        </w:tc>
        <w:tc>
          <w:tcPr>
            <w:tcW w:w="217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247920.00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8.服务内容</w:t>
      </w:r>
    </w:p>
    <w:tbl>
      <w:tblPr>
        <w:tblStyle w:val="6"/>
        <w:tblW w:w="91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1"/>
        <w:gridCol w:w="3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服务内容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服务期或完工期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Cs w:val="28"/>
              </w:rPr>
              <w:t>高性能计算系统运维服务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ascii="仿宋" w:hAnsi="仿宋" w:eastAsia="仿宋"/>
                <w:color w:val="000000"/>
                <w:szCs w:val="28"/>
              </w:rPr>
              <w:t>一年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5995C41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2A0E3E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6B3EC3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EC0487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9D414D6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2020-04-23T09:24:26Z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