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1.项目名称：常年法律顾问服务采购项目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许必海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花永霞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张建宏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郑张霞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p>
      <w:pPr>
        <w:pStyle w:val="5"/>
        <w:widowControl/>
        <w:numPr>
          <w:numId w:val="0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广东盛唐律师事务所</w:t>
      </w:r>
      <w:r>
        <w:rPr>
          <w:rFonts w:hint="eastAsia" w:ascii="仿宋" w:hAnsi="仿宋" w:eastAsia="仿宋"/>
          <w:bCs/>
          <w:color w:val="auto"/>
          <w:sz w:val="28"/>
          <w:szCs w:val="28"/>
          <w:lang w:eastAsia="zh-CN"/>
        </w:rPr>
        <w:t>、广东海涵律师事务所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bCs/>
          <w:color w:val="auto"/>
          <w:sz w:val="28"/>
          <w:szCs w:val="28"/>
          <w:lang w:eastAsia="zh-CN"/>
        </w:rPr>
        <w:t>北京市君合（深圳）律师事务所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均未按招标文件的格式填写《投标书》（投标报价为空），属未按招标文件对投标文件组成的要求提供投标文件，均未通过符合性检查。</w:t>
      </w:r>
    </w:p>
    <w:tbl>
      <w:tblPr>
        <w:tblStyle w:val="6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941"/>
        <w:gridCol w:w="22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94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广东卓建律师事务所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600000.00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89.60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北京德恒（深圳）律师事务所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500000.00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广东国晖律师事务所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676000.00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71.91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第四名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北京市竞天公诚（深圳）律师事务所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490000.00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71.77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第五名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上海市锦天城（深圳）律师事务所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600000.00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63.60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第六名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广东深信律师事务所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450000.00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53.50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第七名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北京德和衡律师事务所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580000.00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44.96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第八名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广东一裁律师事务所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750000.00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34.70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第九名</w:t>
            </w:r>
          </w:p>
        </w:tc>
        <w:tc>
          <w:tcPr>
            <w:tcW w:w="49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北京市东元（深圳）律师事务所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580000.00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31.52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  <w:bookmarkStart w:id="0" w:name="_GoBack"/>
      <w:bookmarkEnd w:id="0"/>
    </w:p>
    <w:tbl>
      <w:tblPr>
        <w:tblStyle w:val="6"/>
        <w:tblW w:w="12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628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48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28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8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广东卓建律师事务所</w:t>
            </w:r>
          </w:p>
        </w:tc>
        <w:tc>
          <w:tcPr>
            <w:tcW w:w="628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深南中路1099号平安银行大厦三层全层（深南中路与上步路南交汇处，中信城市广场旁边）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600000.00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9"/>
        <w:gridCol w:w="1511"/>
        <w:gridCol w:w="2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3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数量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服务期/完工期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53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常年法律顾问服务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1项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3F6172D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B8275F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653348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DF5660"/>
    <w:rsid w:val="24E31CB4"/>
    <w:rsid w:val="25022FED"/>
    <w:rsid w:val="25EB3919"/>
    <w:rsid w:val="265056D7"/>
    <w:rsid w:val="26930A7A"/>
    <w:rsid w:val="26CA24E9"/>
    <w:rsid w:val="272044C3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E60585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0200FD1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6CE11A9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9C0501"/>
    <w:rsid w:val="3DBC5722"/>
    <w:rsid w:val="3E0C4AB9"/>
    <w:rsid w:val="3E8F2187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E105969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BED7A58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9D0E1D"/>
    <w:rsid w:val="78B902CF"/>
    <w:rsid w:val="78E33119"/>
    <w:rsid w:val="7923504E"/>
    <w:rsid w:val="79967E18"/>
    <w:rsid w:val="7A7D73F4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2020-04-22T09:04:03Z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