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1.项目名称：物理系无液氦综合物性测量仪采购项目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2.招标编号：SUSTech-2019-454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3.开标日期：2020年03月30日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160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58"/>
        <w:gridCol w:w="1658"/>
        <w:gridCol w:w="1658"/>
        <w:gridCol w:w="1658"/>
        <w:gridCol w:w="1658"/>
        <w:gridCol w:w="16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刘连福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贾伊娜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秦苏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杨天罡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吕沫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张振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何洪涛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深圳市德贯科技有限公司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6995800.00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96.95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深圳市智翰仪器有限公司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6998000.00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82.94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深圳市贝克生物科技有限公司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6985000.00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79.29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深圳市德贯科技有限公司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深圳市前海深港合作区前湾一路1号A栋201室（入驻深圳市前海商务秘书有限公司）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6995800.00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590"/>
        <w:gridCol w:w="2130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  <w:t>货物名称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货物品牌及型号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  <w:t>无液氦综合物性测量仪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Quantum Design、PPMS DynaCool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套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DE10036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6967E19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941AE"/>
    <w:rsid w:val="74FE1EAA"/>
    <w:rsid w:val="75561563"/>
    <w:rsid w:val="755B5121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2020-03-30T08:44:51Z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