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val="en-US" w:eastAsia="zh-CN" w:bidi="ar"/>
        </w:rPr>
        <w:t>项目名称：南方科技大学会堂景观工程采购项目（重新招标）</w:t>
      </w:r>
    </w:p>
    <w:p>
      <w:pPr>
        <w:pStyle w:val="5"/>
        <w:widowControl/>
        <w:shd w:val="clear" w:color="auto" w:fill="FFFFFF"/>
        <w:spacing w:beforeAutospacing="0" w:afterAutospacing="0"/>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2.招标编号：SUSTech-EF-2019-004</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3.开标日期：201</w:t>
      </w:r>
      <w:r>
        <w:rPr>
          <w:rFonts w:hint="eastAsia" w:asciiTheme="minorEastAsia" w:hAnsiTheme="minorEastAsia" w:cstheme="minorEastAsia"/>
          <w:color w:val="000000"/>
          <w:kern w:val="0"/>
          <w:sz w:val="24"/>
          <w:szCs w:val="24"/>
          <w:lang w:val="en-US" w:eastAsia="zh-CN" w:bidi="ar"/>
        </w:rPr>
        <w:t>9</w:t>
      </w:r>
      <w:r>
        <w:rPr>
          <w:rFonts w:hint="eastAsia" w:asciiTheme="minorEastAsia" w:hAnsiTheme="minorEastAsia" w:eastAsiaTheme="minorEastAsia" w:cstheme="minorEastAsia"/>
          <w:color w:val="000000"/>
          <w:kern w:val="0"/>
          <w:sz w:val="24"/>
          <w:szCs w:val="24"/>
          <w:lang w:val="en-US" w:eastAsia="zh-CN" w:bidi="ar"/>
        </w:rPr>
        <w:t>年</w:t>
      </w:r>
      <w:r>
        <w:rPr>
          <w:rFonts w:hint="eastAsia" w:asciiTheme="minorEastAsia" w:hAnsiTheme="minorEastAsia" w:cstheme="minorEastAsia"/>
          <w:color w:val="000000"/>
          <w:kern w:val="0"/>
          <w:sz w:val="24"/>
          <w:szCs w:val="24"/>
          <w:lang w:val="en-US" w:eastAsia="zh-CN" w:bidi="ar"/>
        </w:rPr>
        <w:t>12</w:t>
      </w:r>
      <w:r>
        <w:rPr>
          <w:rFonts w:hint="eastAsia" w:asciiTheme="minorEastAsia" w:hAnsiTheme="minorEastAsia" w:eastAsiaTheme="minorEastAsia" w:cstheme="minorEastAsia"/>
          <w:color w:val="000000"/>
          <w:kern w:val="0"/>
          <w:sz w:val="24"/>
          <w:szCs w:val="24"/>
          <w:lang w:val="en-US" w:eastAsia="zh-CN" w:bidi="ar"/>
        </w:rPr>
        <w:t>月</w:t>
      </w:r>
      <w:r>
        <w:rPr>
          <w:rFonts w:hint="eastAsia" w:asciiTheme="minorEastAsia" w:hAnsiTheme="minorEastAsia" w:cstheme="minorEastAsia"/>
          <w:color w:val="000000"/>
          <w:kern w:val="0"/>
          <w:sz w:val="24"/>
          <w:szCs w:val="24"/>
          <w:lang w:val="en-US" w:eastAsia="zh-CN" w:bidi="ar"/>
        </w:rPr>
        <w:t>05</w:t>
      </w:r>
      <w:bookmarkStart w:id="1" w:name="_GoBack"/>
      <w:bookmarkEnd w:id="1"/>
      <w:r>
        <w:rPr>
          <w:rFonts w:hint="eastAsia" w:asciiTheme="minorEastAsia" w:hAnsiTheme="minorEastAsia" w:eastAsiaTheme="minorEastAsia" w:cstheme="minorEastAsia"/>
          <w:color w:val="000000"/>
          <w:kern w:val="0"/>
          <w:sz w:val="24"/>
          <w:szCs w:val="24"/>
          <w:lang w:val="en-US" w:eastAsia="zh-CN" w:bidi="ar"/>
        </w:rPr>
        <w:t>日</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4.评标办法：</w:t>
      </w:r>
      <w:r>
        <w:rPr>
          <w:rFonts w:hint="eastAsia" w:asciiTheme="minorEastAsia" w:hAnsiTheme="minorEastAsia" w:cstheme="minorEastAsia"/>
          <w:color w:val="000000"/>
          <w:kern w:val="0"/>
          <w:sz w:val="24"/>
          <w:szCs w:val="24"/>
          <w:lang w:val="en-US" w:eastAsia="zh-CN" w:bidi="ar"/>
        </w:rPr>
        <w:t>综合评分法</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lang w:val="en-US" w:eastAsia="zh-CN"/>
              </w:rPr>
              <w:t>吴国华</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lang w:val="en-US" w:eastAsia="zh-CN"/>
              </w:rPr>
              <w:t>张建宏</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val="en-US" w:eastAsia="zh-CN"/>
              </w:rPr>
            </w:pPr>
            <w:r>
              <w:rPr>
                <w:rFonts w:hint="eastAsia" w:ascii="仿宋" w:hAnsi="仿宋" w:eastAsia="仿宋"/>
                <w:color w:val="000000"/>
                <w:sz w:val="28"/>
                <w:szCs w:val="28"/>
                <w:lang w:val="en-US" w:eastAsia="zh-CN"/>
              </w:rPr>
              <w:t>许必海</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eastAsia="zh-CN"/>
              </w:rPr>
            </w:pPr>
            <w:r>
              <w:rPr>
                <w:rFonts w:hint="eastAsia" w:ascii="仿宋" w:hAnsi="仿宋" w:eastAsia="仿宋"/>
                <w:color w:val="000000"/>
                <w:sz w:val="28"/>
                <w:szCs w:val="28"/>
                <w:lang w:val="en-US" w:eastAsia="zh-CN"/>
              </w:rPr>
              <w:t>陈凌</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eastAsia="zh-CN"/>
              </w:rPr>
            </w:pPr>
            <w:r>
              <w:rPr>
                <w:rFonts w:hint="eastAsia" w:ascii="仿宋" w:hAnsi="仿宋" w:eastAsia="仿宋"/>
                <w:color w:val="000000"/>
                <w:sz w:val="28"/>
                <w:szCs w:val="28"/>
                <w:lang w:val="en-US" w:eastAsia="zh-CN"/>
              </w:rPr>
              <w:t>吴鹏</w:t>
            </w:r>
          </w:p>
        </w:tc>
      </w:tr>
    </w:tbl>
    <w:p>
      <w:pPr>
        <w:pStyle w:val="5"/>
        <w:widowControl/>
        <w:numPr>
          <w:ilvl w:val="0"/>
          <w:numId w:val="1"/>
        </w:numPr>
        <w:shd w:val="clear" w:color="auto" w:fill="FFFFFF"/>
        <w:spacing w:beforeAutospacing="0" w:afterAutospacing="0"/>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投标供应商及投标报价</w:t>
      </w:r>
    </w:p>
    <w:p>
      <w:pPr>
        <w:spacing w:line="360" w:lineRule="auto"/>
        <w:ind w:firstLine="560"/>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评标小组对所有投标人的投标文件按照招标文件的规定进行了符合性检查，</w:t>
      </w:r>
      <w:r>
        <w:rPr>
          <w:rFonts w:hint="eastAsia" w:ascii="仿宋" w:hAnsi="仿宋" w:eastAsia="仿宋"/>
          <w:bCs/>
          <w:color w:val="auto"/>
          <w:sz w:val="28"/>
          <w:szCs w:val="28"/>
          <w:lang w:val="en-US" w:eastAsia="zh-CN"/>
        </w:rPr>
        <w:t>其中投标人</w:t>
      </w:r>
      <w:r>
        <w:rPr>
          <w:rFonts w:hint="default" w:ascii="仿宋" w:hAnsi="仿宋" w:eastAsia="仿宋"/>
          <w:bCs/>
          <w:color w:val="auto"/>
          <w:sz w:val="28"/>
          <w:szCs w:val="28"/>
          <w:lang w:val="en-US" w:eastAsia="zh-CN"/>
        </w:rPr>
        <w:t>深圳市安达业建筑工程有限公司</w:t>
      </w:r>
      <w:r>
        <w:rPr>
          <w:rFonts w:hint="eastAsia" w:ascii="仿宋" w:hAnsi="仿宋" w:eastAsia="仿宋"/>
          <w:bCs/>
          <w:color w:val="auto"/>
          <w:sz w:val="28"/>
          <w:szCs w:val="28"/>
          <w:lang w:val="en-US" w:eastAsia="zh-CN"/>
        </w:rPr>
        <w:t>未按招标文件对投标文件组成的要求提供投标文件（未按招标文件的格式要求将 “商务要求”逐条填写</w:t>
      </w:r>
      <w:bookmarkStart w:id="0" w:name="_Toc211248420"/>
      <w:r>
        <w:rPr>
          <w:rFonts w:hint="eastAsia" w:ascii="仿宋" w:hAnsi="仿宋" w:eastAsia="仿宋"/>
          <w:bCs/>
          <w:color w:val="auto"/>
          <w:sz w:val="28"/>
          <w:szCs w:val="28"/>
          <w:lang w:val="en-US" w:eastAsia="zh-CN"/>
        </w:rPr>
        <w:t>在《商务要求条款响应/偏离表》</w:t>
      </w:r>
      <w:bookmarkEnd w:id="0"/>
      <w:r>
        <w:rPr>
          <w:rFonts w:hint="eastAsia" w:ascii="仿宋" w:hAnsi="仿宋" w:eastAsia="仿宋"/>
          <w:bCs/>
          <w:color w:val="auto"/>
          <w:sz w:val="28"/>
          <w:szCs w:val="28"/>
          <w:lang w:val="en-US" w:eastAsia="zh-CN"/>
        </w:rPr>
        <w:t>），符合性检查不通过；其</w:t>
      </w:r>
      <w:r>
        <w:rPr>
          <w:rFonts w:hint="eastAsia" w:ascii="仿宋" w:hAnsi="仿宋" w:eastAsia="仿宋"/>
          <w:bCs/>
          <w:color w:val="000000"/>
          <w:sz w:val="28"/>
          <w:szCs w:val="28"/>
          <w:lang w:val="en-US" w:eastAsia="zh-CN"/>
        </w:rPr>
        <w:t>他投标人的投标文件均通过了符合性检查。</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59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名次</w:t>
            </w:r>
          </w:p>
        </w:tc>
        <w:tc>
          <w:tcPr>
            <w:tcW w:w="5929"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供应商名称</w:t>
            </w:r>
          </w:p>
        </w:tc>
        <w:tc>
          <w:tcPr>
            <w:tcW w:w="1559"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第一名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银广厦集团有限公司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82.89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第二名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深圳园林股份有限公司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82.87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第三名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深圳市粤源实业有限公司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四</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深圳市夺天工环境建设有限公司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五</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西安市园林绿化总公司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六</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深圳市花梨园林绿化有限公司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七</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深圳地天泰建设有限公司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71.298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八</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深圳市中装园林建设工程有限公司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71.295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九</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深圳市中润达建筑工程有限公司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深圳市深泰建设工程有限公司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十一</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深圳建安置业工程有限公司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十二</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深圳华奕建设发展有限公司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十三</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深圳市建源达建筑工程有限公司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68.69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十四</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深圳安鸿源建设有限公司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十五</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中建港湾建设（深圳）有限公司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62.65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十六</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深圳市嘉锋交通设施有限公司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十七</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深圳市中剑建筑工程有限公司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十八</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深圳市宏胜隆建设工程有限公司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62.12 </w:t>
            </w:r>
          </w:p>
        </w:tc>
      </w:tr>
    </w:tbl>
    <w:p>
      <w:pPr>
        <w:pStyle w:val="5"/>
        <w:widowControl/>
        <w:numPr>
          <w:ilvl w:val="0"/>
          <w:numId w:val="0"/>
        </w:numPr>
        <w:shd w:val="clear" w:color="auto" w:fill="FFFFFF"/>
        <w:spacing w:beforeAutospacing="0" w:afterAutospacing="0"/>
        <w:rPr>
          <w:rFonts w:hint="eastAsia" w:asciiTheme="minorEastAsia" w:hAnsiTheme="minorEastAsia" w:cstheme="minorEastAsia"/>
          <w:color w:val="000000"/>
          <w:kern w:val="0"/>
          <w:sz w:val="24"/>
          <w:szCs w:val="24"/>
          <w:lang w:val="en-US" w:eastAsia="zh-CN" w:bidi="ar"/>
        </w:rPr>
      </w:pPr>
    </w:p>
    <w:p>
      <w:pPr>
        <w:pStyle w:val="5"/>
        <w:widowControl/>
        <w:shd w:val="clear" w:color="auto" w:fill="FFFFFF"/>
        <w:spacing w:beforeAutospacing="0" w:afterAutospacing="0"/>
        <w:rPr>
          <w:rFonts w:hint="eastAsia" w:asciiTheme="minorEastAsia" w:hAnsiTheme="minorEastAsia" w:cstheme="minorEastAsia"/>
          <w:color w:val="000000"/>
          <w:kern w:val="0"/>
          <w:sz w:val="24"/>
          <w:szCs w:val="24"/>
          <w:lang w:val="en-US" w:eastAsia="zh-CN" w:bidi="ar"/>
        </w:rPr>
      </w:pP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7</w:t>
      </w:r>
      <w:r>
        <w:rPr>
          <w:rFonts w:hint="eastAsia" w:asciiTheme="minorEastAsia" w:hAnsiTheme="minorEastAsia" w:eastAsiaTheme="minorEastAsia" w:cstheme="minorEastAsia"/>
          <w:color w:val="000000"/>
          <w:kern w:val="0"/>
          <w:sz w:val="24"/>
          <w:szCs w:val="24"/>
          <w:lang w:val="en-US" w:eastAsia="zh-CN" w:bidi="ar"/>
        </w:rPr>
        <w:t>.中标供应商</w:t>
      </w:r>
      <w:r>
        <w:rPr>
          <w:rFonts w:hint="eastAsia" w:asciiTheme="minorEastAsia" w:hAnsiTheme="minorEastAsia" w:cstheme="minorEastAsia"/>
          <w:color w:val="000000"/>
          <w:kern w:val="0"/>
          <w:sz w:val="24"/>
          <w:szCs w:val="24"/>
          <w:lang w:val="en-US" w:eastAsia="zh-CN" w:bidi="ar"/>
        </w:rPr>
        <w:t>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中标候选人名称</w:t>
            </w:r>
          </w:p>
        </w:tc>
        <w:tc>
          <w:tcPr>
            <w:tcW w:w="4295" w:type="dxa"/>
            <w:vAlign w:val="center"/>
          </w:tcPr>
          <w:p>
            <w:pPr>
              <w:pStyle w:val="5"/>
              <w:widowControl/>
              <w:shd w:val="clear" w:color="auto" w:fill="FFFFFF"/>
              <w:spacing w:beforeAutospacing="0" w:afterAutospacing="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中</w:t>
            </w:r>
            <w:r>
              <w:rPr>
                <w:rFonts w:hint="eastAsia" w:asciiTheme="minorEastAsia" w:hAnsiTheme="minorEastAsia" w:eastAsiaTheme="minorEastAsia" w:cstheme="minorEastAsia"/>
                <w:color w:val="000000"/>
                <w:kern w:val="0"/>
                <w:sz w:val="24"/>
                <w:szCs w:val="24"/>
                <w:lang w:val="en-US" w:eastAsia="zh-CN" w:bidi="ar"/>
              </w:rPr>
              <w:t>标金额</w:t>
            </w:r>
            <w:r>
              <w:rPr>
                <w:rFonts w:hint="eastAsia" w:asciiTheme="minorEastAsia" w:hAnsiTheme="minorEastAsia" w:cstheme="minorEastAsia"/>
                <w:color w:val="000000"/>
                <w:kern w:val="0"/>
                <w:sz w:val="24"/>
                <w:szCs w:val="24"/>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kern w:val="2"/>
                <w:sz w:val="28"/>
                <w:szCs w:val="28"/>
                <w:lang w:val="en-US" w:eastAsia="zh-CN" w:bidi="ar-SA"/>
              </w:rPr>
              <w:t>银广厦集团有限公司</w:t>
            </w:r>
          </w:p>
        </w:tc>
        <w:tc>
          <w:tcPr>
            <w:tcW w:w="4295" w:type="dxa"/>
            <w:shd w:val="clear" w:color="auto" w:fill="FFFFFF"/>
            <w:vAlign w:val="center"/>
          </w:tcPr>
          <w:p>
            <w:pPr>
              <w:pStyle w:val="2"/>
              <w:ind w:firstLine="0" w:firstLineChars="0"/>
              <w:jc w:val="center"/>
              <w:rPr>
                <w:rFonts w:hint="eastAsia" w:ascii="仿宋" w:hAnsi="仿宋" w:eastAsia="仿宋"/>
                <w:color w:val="000000"/>
                <w:szCs w:val="28"/>
                <w:lang w:val="en-US"/>
              </w:rPr>
            </w:pPr>
            <w:r>
              <w:rPr>
                <w:rFonts w:hint="eastAsia" w:ascii="仿宋" w:hAnsi="仿宋" w:eastAsia="仿宋"/>
                <w:color w:val="000000"/>
                <w:kern w:val="2"/>
                <w:sz w:val="28"/>
                <w:szCs w:val="28"/>
                <w:lang w:val="en-US" w:eastAsia="zh-CN" w:bidi="ar-SA"/>
              </w:rPr>
              <w:t>4140825.93</w:t>
            </w:r>
          </w:p>
        </w:tc>
      </w:tr>
    </w:tbl>
    <w:p>
      <w:pPr>
        <w:jc w:val="both"/>
        <w:rPr>
          <w:rFonts w:hint="eastAsia" w:asciiTheme="minorEastAsia" w:hAnsiTheme="minorEastAsia" w:eastAsiaTheme="minorEastAsia" w:cs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EB4DB"/>
    <w:multiLevelType w:val="singleLevel"/>
    <w:tmpl w:val="A8FEB4D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87407B"/>
    <w:rsid w:val="03CE72CC"/>
    <w:rsid w:val="044D20AA"/>
    <w:rsid w:val="04D677ED"/>
    <w:rsid w:val="04F412AC"/>
    <w:rsid w:val="05BB5062"/>
    <w:rsid w:val="06713763"/>
    <w:rsid w:val="06A8173D"/>
    <w:rsid w:val="093779EA"/>
    <w:rsid w:val="0A035E67"/>
    <w:rsid w:val="0A601D81"/>
    <w:rsid w:val="0A8641BE"/>
    <w:rsid w:val="0A904AB0"/>
    <w:rsid w:val="0AB7472A"/>
    <w:rsid w:val="0B6103AE"/>
    <w:rsid w:val="0BA14AEA"/>
    <w:rsid w:val="0D266BDC"/>
    <w:rsid w:val="0D8604CD"/>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98169F7"/>
    <w:rsid w:val="19AC73EB"/>
    <w:rsid w:val="1A0E7C60"/>
    <w:rsid w:val="1ABE3A5F"/>
    <w:rsid w:val="1B804EDE"/>
    <w:rsid w:val="1BB4142A"/>
    <w:rsid w:val="1CD135FE"/>
    <w:rsid w:val="1D065FD1"/>
    <w:rsid w:val="1DAA40BE"/>
    <w:rsid w:val="1E4701DE"/>
    <w:rsid w:val="1E9E7434"/>
    <w:rsid w:val="1EC42F4A"/>
    <w:rsid w:val="1ED54ADB"/>
    <w:rsid w:val="1F8F7079"/>
    <w:rsid w:val="21D7446E"/>
    <w:rsid w:val="22D752AF"/>
    <w:rsid w:val="23033485"/>
    <w:rsid w:val="23856173"/>
    <w:rsid w:val="240141E8"/>
    <w:rsid w:val="24074148"/>
    <w:rsid w:val="244E7B88"/>
    <w:rsid w:val="24610339"/>
    <w:rsid w:val="24E31CB4"/>
    <w:rsid w:val="25EB3919"/>
    <w:rsid w:val="265056D7"/>
    <w:rsid w:val="26930A7A"/>
    <w:rsid w:val="26CA24E9"/>
    <w:rsid w:val="278E18E5"/>
    <w:rsid w:val="278E2336"/>
    <w:rsid w:val="279A175D"/>
    <w:rsid w:val="28013EAC"/>
    <w:rsid w:val="28280B63"/>
    <w:rsid w:val="284C52CA"/>
    <w:rsid w:val="28852104"/>
    <w:rsid w:val="289E3365"/>
    <w:rsid w:val="28A62AD9"/>
    <w:rsid w:val="28D07231"/>
    <w:rsid w:val="2A812DA8"/>
    <w:rsid w:val="2A904DE8"/>
    <w:rsid w:val="2A9574D1"/>
    <w:rsid w:val="2BAB79DF"/>
    <w:rsid w:val="2C9B29E6"/>
    <w:rsid w:val="2CF25906"/>
    <w:rsid w:val="2D084EF7"/>
    <w:rsid w:val="2D8C5D51"/>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AE4ACF"/>
    <w:rsid w:val="35C50F30"/>
    <w:rsid w:val="35DD3BE3"/>
    <w:rsid w:val="35F33062"/>
    <w:rsid w:val="365A6E00"/>
    <w:rsid w:val="36803E7B"/>
    <w:rsid w:val="370102BF"/>
    <w:rsid w:val="37293C5A"/>
    <w:rsid w:val="377A6F6F"/>
    <w:rsid w:val="381E5C60"/>
    <w:rsid w:val="385A11F5"/>
    <w:rsid w:val="38627325"/>
    <w:rsid w:val="38C03B69"/>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8D0D16"/>
    <w:rsid w:val="41A02377"/>
    <w:rsid w:val="41C6000C"/>
    <w:rsid w:val="4217630D"/>
    <w:rsid w:val="421F2D37"/>
    <w:rsid w:val="422C4569"/>
    <w:rsid w:val="4250636E"/>
    <w:rsid w:val="42C55A43"/>
    <w:rsid w:val="42E45328"/>
    <w:rsid w:val="43002D2E"/>
    <w:rsid w:val="435B7113"/>
    <w:rsid w:val="43FA485D"/>
    <w:rsid w:val="44951AB1"/>
    <w:rsid w:val="44EB5068"/>
    <w:rsid w:val="45295AD0"/>
    <w:rsid w:val="456831C1"/>
    <w:rsid w:val="458269EA"/>
    <w:rsid w:val="466C6DB8"/>
    <w:rsid w:val="46BC1D42"/>
    <w:rsid w:val="47046985"/>
    <w:rsid w:val="47B54EE8"/>
    <w:rsid w:val="482E3EAC"/>
    <w:rsid w:val="485E064E"/>
    <w:rsid w:val="48922691"/>
    <w:rsid w:val="48CE440B"/>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58F7F20"/>
    <w:rsid w:val="55B23C61"/>
    <w:rsid w:val="55D742D3"/>
    <w:rsid w:val="5691161B"/>
    <w:rsid w:val="575D7CA1"/>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C47B2A"/>
    <w:rsid w:val="68006C7F"/>
    <w:rsid w:val="68C1465C"/>
    <w:rsid w:val="6958744F"/>
    <w:rsid w:val="69AD6419"/>
    <w:rsid w:val="6AB53D8A"/>
    <w:rsid w:val="6AE547CC"/>
    <w:rsid w:val="6B456CBB"/>
    <w:rsid w:val="6B9F04CE"/>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447B8D"/>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0</TotalTime>
  <ScaleCrop>false</ScaleCrop>
  <LinksUpToDate>false</LinksUpToDate>
  <CharactersWithSpaces>421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lenovo</cp:lastModifiedBy>
  <dcterms:modified xsi:type="dcterms:W3CDTF">2019-12-05T06:34:48Z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