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1.项目名称：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医学院声波聚焦流式细胞仪采购项目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2.招标编号：SUSTech-2019-344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3.开标日期：201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9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12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04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日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4.评标办法：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综合评分法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唐斌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王艳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李顺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于月娜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王博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投标供应商及投标报价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深圳市恩科生物科技有限公司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91.53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深圳市赛纳精密仪器有限公司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77.51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深圳博兴生物科技有限公司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75.20 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7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.中标供应商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uto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中</w:t>
            </w: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标金额</w:t>
            </w:r>
            <w:r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深圳市恩科生物科技有限公司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1298000.00</w:t>
            </w:r>
          </w:p>
        </w:tc>
      </w:tr>
    </w:tbl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both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8.中标货物品牌及型号</w:t>
      </w:r>
    </w:p>
    <w:tbl>
      <w:tblPr>
        <w:tblStyle w:val="6"/>
        <w:tblW w:w="96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788"/>
        <w:gridCol w:w="855"/>
        <w:gridCol w:w="960"/>
        <w:gridCol w:w="3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lang w:val="zh-CN" w:eastAsia="zh-CN"/>
              </w:rPr>
              <w:t>序号</w:t>
            </w:r>
          </w:p>
        </w:tc>
        <w:tc>
          <w:tcPr>
            <w:tcW w:w="3788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lang w:val="zh-CN" w:eastAsia="zh-CN"/>
              </w:rPr>
              <w:t>货物名称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lang w:val="zh-CN" w:eastAsia="zh-CN"/>
              </w:rPr>
              <w:t>数量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lang w:val="zh-CN" w:eastAsia="zh-CN"/>
              </w:rPr>
              <w:t>单位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货物品牌及型号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lang w:val="zh-CN" w:eastAsia="zh-CN"/>
              </w:rPr>
              <w:t>1</w:t>
            </w:r>
          </w:p>
        </w:tc>
        <w:tc>
          <w:tcPr>
            <w:tcW w:w="3788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lang w:val="zh-CN" w:eastAsia="zh-CN"/>
              </w:rPr>
              <w:t>声波聚焦流式细胞仪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lang w:val="zh-CN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lang w:val="zh-CN" w:eastAsia="zh-CN"/>
              </w:rPr>
              <w:t>台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lang w:val="zh-CN" w:eastAsia="zh-CN"/>
              </w:rPr>
              <w:t>invitrogen、AFC2</w:t>
            </w:r>
          </w:p>
        </w:tc>
      </w:tr>
    </w:tbl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both"/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EB4DB"/>
    <w:multiLevelType w:val="singleLevel"/>
    <w:tmpl w:val="A8FEB4D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87407B"/>
    <w:rsid w:val="03CE72CC"/>
    <w:rsid w:val="044D20AA"/>
    <w:rsid w:val="04712595"/>
    <w:rsid w:val="04D677ED"/>
    <w:rsid w:val="04F412AC"/>
    <w:rsid w:val="05BB5062"/>
    <w:rsid w:val="06713763"/>
    <w:rsid w:val="06A8173D"/>
    <w:rsid w:val="093779EA"/>
    <w:rsid w:val="0A035E67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2826B8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BE3A5F"/>
    <w:rsid w:val="1B804EDE"/>
    <w:rsid w:val="1BB4142A"/>
    <w:rsid w:val="1CD135FE"/>
    <w:rsid w:val="1D065FD1"/>
    <w:rsid w:val="1DAA40BE"/>
    <w:rsid w:val="1E4701DE"/>
    <w:rsid w:val="1E9E7434"/>
    <w:rsid w:val="1EC42F4A"/>
    <w:rsid w:val="1ED54ADB"/>
    <w:rsid w:val="1F8F7079"/>
    <w:rsid w:val="20DD1083"/>
    <w:rsid w:val="21D7446E"/>
    <w:rsid w:val="22D752AF"/>
    <w:rsid w:val="23033485"/>
    <w:rsid w:val="23856173"/>
    <w:rsid w:val="240141E8"/>
    <w:rsid w:val="24074148"/>
    <w:rsid w:val="244E7B88"/>
    <w:rsid w:val="24610339"/>
    <w:rsid w:val="24E31CB4"/>
    <w:rsid w:val="25022FED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5A72B0"/>
    <w:rsid w:val="28852104"/>
    <w:rsid w:val="289E3365"/>
    <w:rsid w:val="28A62AD9"/>
    <w:rsid w:val="28D07231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9F0955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58F7F20"/>
    <w:rsid w:val="55B23C61"/>
    <w:rsid w:val="55D742D3"/>
    <w:rsid w:val="5691161B"/>
    <w:rsid w:val="575D7CA1"/>
    <w:rsid w:val="576108F9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4B7788B"/>
    <w:rsid w:val="64C542B7"/>
    <w:rsid w:val="64EB3505"/>
    <w:rsid w:val="64F76919"/>
    <w:rsid w:val="65B04E6F"/>
    <w:rsid w:val="65DF73C4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B902CF"/>
    <w:rsid w:val="78E33119"/>
    <w:rsid w:val="7923504E"/>
    <w:rsid w:val="79967E18"/>
    <w:rsid w:val="7AA61BCA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1</TotalTime>
  <ScaleCrop>false</ScaleCrop>
  <LinksUpToDate>false</LinksUpToDate>
  <CharactersWithSpaces>421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2019-12-04T09:21:00Z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