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商学院教学实验室设备采购项目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2.招标编号：SUSTech-2019-328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2019年11月19日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</w:t>
      </w: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尹荣荣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陈朗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王艳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eastAsia="zh-CN"/>
              </w:rPr>
              <w:t>罗树生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段宇宙</w:t>
            </w:r>
          </w:p>
        </w:tc>
      </w:tr>
    </w:tbl>
    <w:p>
      <w:pPr>
        <w:pStyle w:val="5"/>
        <w:widowControl/>
        <w:numPr>
          <w:ilvl w:val="0"/>
          <w:numId w:val="1"/>
        </w:numPr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上海曼恒数字技术股份有限公司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深圳市同立方科技有限公司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75.43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广州市伯恒电子科技有限公司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72.20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  <w:lang w:val="en-US" w:eastAsia="zh-CN"/>
              </w:rPr>
              <w:t>中标金额（元）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上海曼恒数字技术股份有限公司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1968800.00</w:t>
            </w:r>
          </w:p>
        </w:tc>
      </w:tr>
    </w:tbl>
    <w:p>
      <w:pPr>
        <w:jc w:val="left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8.中标货物品牌及型号</w:t>
      </w:r>
    </w:p>
    <w:tbl>
      <w:tblPr>
        <w:tblStyle w:val="6"/>
        <w:tblW w:w="1181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7"/>
        <w:gridCol w:w="2595"/>
        <w:gridCol w:w="2850"/>
        <w:gridCol w:w="1860"/>
        <w:gridCol w:w="1455"/>
        <w:gridCol w:w="1170"/>
        <w:gridCol w:w="1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序号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货物名称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品牌、型号和规格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制造商及原产地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数量及单位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单价（元）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4"/>
                <w:lang w:bidi="ar"/>
              </w:rPr>
              <w:t>总价（元）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沉浸式3D-LED显示系统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GDI、GV2.5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16平方米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25000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400000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沉浸式3D-LED显示屏包边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发送盒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诺瓦、MCTRL600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诺瓦、中国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4000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4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智能无线传屏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DTEN、DTEN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1500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VR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>场景管理器软件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GDI、曼恒VR-Scene VR场景管理器软件[简称：VR-Scene]V1.0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6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高清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bidi="ar"/>
              </w:rPr>
              <w:t>VR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>场景管理器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GDI、VR Scenager 200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7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超级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bidi="ar"/>
              </w:rPr>
              <w:t>PC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HP、Z2 Tower G4 Workstation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惠普、中国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27500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27500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8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显示器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HP、E230T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惠普、中国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3200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9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三维空间位置追踪摄像头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GDI、G-Motion V4.0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100000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2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10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三维空间位置追踪系统软件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原川、原川IQ-Tracker3.0光学追踪软件[简称：IQ-Tracker]V3.0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原川、中国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1台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138600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138600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11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3D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>立体信号发射器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GDI、ActivHub RF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4400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4400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3D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>主动立体眼镜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GDI、3D FULL  HD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30副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550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16500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13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VR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>交互手柄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14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虚拟现实桥接软件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GDI、曼恒LinkVR（创链）虚拟现实内容适配软件V2.2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68000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68000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音箱系统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雅马哈、YAS-106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雅马哈、中国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16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沉浸式</w:t>
            </w:r>
            <w:r>
              <w:rPr>
                <w:rStyle w:val="15"/>
                <w:rFonts w:hint="eastAsia" w:ascii="仿宋" w:hAnsi="仿宋" w:eastAsia="仿宋" w:cs="仿宋"/>
                <w:sz w:val="24"/>
                <w:szCs w:val="24"/>
                <w:lang w:bidi="ar"/>
              </w:rPr>
              <w:t>VR5</w:t>
            </w:r>
            <w:r>
              <w:rPr>
                <w:rStyle w:val="14"/>
                <w:rFonts w:hint="eastAsia" w:ascii="仿宋" w:hAnsi="仿宋" w:eastAsia="仿宋" w:cs="仿宋"/>
                <w:sz w:val="24"/>
                <w:szCs w:val="24"/>
                <w:lang w:bidi="ar"/>
              </w:rPr>
              <w:t>人小组协同交互显示系统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GDI、MR-Group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218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3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17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异地多人协同平台软件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GDI、曼恒IdeaVR 2019 VR内容创作软件【简称：IdeaVR 2019】V4.0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18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VR场景案例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GDI、销售服务教练系统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98000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98000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19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沉浸式VR移动便携交互显示系统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GDI、MR-TOUCH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96000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96000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MR眼镜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Ximmerse、RhinoX实训版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广东虚拟现实科技有限公司、中国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2副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25000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21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桌面级AR虚拟交互一体机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未来立体、GC2000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深圳未来立体教育科技有限公司、中国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8700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8700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7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22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虚拟实验室智慧云智管控平台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浩翔、浩翔智慧校园云管控平台软件 V2.0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浩翔、中国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23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虚拟实验室智慧中控管控硬件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浩翔、定制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浩翔、中国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1套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8000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8000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24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工作台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25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MR眼镜展示台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26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座椅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25把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800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27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AR全息展示台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1个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28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实验室环境搭配配件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50000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29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线材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6000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6000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4" w:hRule="atLeast"/>
        </w:trPr>
        <w:tc>
          <w:tcPr>
            <w:tcW w:w="65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30</w:t>
            </w:r>
          </w:p>
        </w:tc>
        <w:tc>
          <w:tcPr>
            <w:tcW w:w="25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安装、运输、辅材、施工、培训等服务</w:t>
            </w:r>
          </w:p>
        </w:tc>
        <w:tc>
          <w:tcPr>
            <w:tcW w:w="2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GDI、定制</w:t>
            </w:r>
          </w:p>
        </w:tc>
        <w:tc>
          <w:tcPr>
            <w:tcW w:w="186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曼恒数字、中国</w:t>
            </w:r>
          </w:p>
        </w:tc>
        <w:tc>
          <w:tcPr>
            <w:tcW w:w="14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1项</w:t>
            </w:r>
          </w:p>
        </w:tc>
        <w:tc>
          <w:tcPr>
            <w:tcW w:w="11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0000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4"/>
                <w:lang w:bidi="ar"/>
              </w:rPr>
              <w:t>0000</w:t>
            </w:r>
          </w:p>
        </w:tc>
      </w:tr>
    </w:tbl>
    <w:p>
      <w:pPr>
        <w:jc w:val="left"/>
        <w:rPr>
          <w:rFonts w:hint="default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FEB4DB"/>
    <w:multiLevelType w:val="singleLevel"/>
    <w:tmpl w:val="A8FEB4DB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1ED5EE9"/>
    <w:rsid w:val="22A56AC8"/>
    <w:rsid w:val="22D752AF"/>
    <w:rsid w:val="23033485"/>
    <w:rsid w:val="23856173"/>
    <w:rsid w:val="240141E8"/>
    <w:rsid w:val="24074148"/>
    <w:rsid w:val="244E7B88"/>
    <w:rsid w:val="24610339"/>
    <w:rsid w:val="24E31CB4"/>
    <w:rsid w:val="25022FED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9F0955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58F7F20"/>
    <w:rsid w:val="55B23C61"/>
    <w:rsid w:val="55D742D3"/>
    <w:rsid w:val="5691161B"/>
    <w:rsid w:val="575D7CA1"/>
    <w:rsid w:val="576108F9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456CBB"/>
    <w:rsid w:val="6CDD2982"/>
    <w:rsid w:val="6D1D677D"/>
    <w:rsid w:val="6E121085"/>
    <w:rsid w:val="6E82099F"/>
    <w:rsid w:val="6E8654BF"/>
    <w:rsid w:val="6E942CF7"/>
    <w:rsid w:val="6F2D24B9"/>
    <w:rsid w:val="6F8D674F"/>
    <w:rsid w:val="6FA67838"/>
    <w:rsid w:val="704C7D7A"/>
    <w:rsid w:val="707315B1"/>
    <w:rsid w:val="71064DFB"/>
    <w:rsid w:val="71164E90"/>
    <w:rsid w:val="711F0740"/>
    <w:rsid w:val="726F1323"/>
    <w:rsid w:val="72A87E1F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font21"/>
    <w:basedOn w:val="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3</TotalTime>
  <ScaleCrop>false</ScaleCrop>
  <LinksUpToDate>false</LinksUpToDate>
  <CharactersWithSpaces>421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2019-11-20T08:19:56Z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