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1.项目名称：产学研专项法律顾问服务采购项目</w:t>
      </w:r>
    </w:p>
    <w:p>
      <w:pPr>
        <w:pStyle w:val="5"/>
        <w:widowControl/>
        <w:shd w:val="clear" w:color="auto" w:fill="FFFFFF"/>
        <w:spacing w:beforeAutospacing="0" w:afterAutospacing="0"/>
        <w:rPr>
          <w:rFonts w:hint="default"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2.招标编号：SUSTech-2019-341</w:t>
      </w:r>
    </w:p>
    <w:p>
      <w:pPr>
        <w:pStyle w:val="5"/>
        <w:widowControl/>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3.开标日期：2019年10月28日</w:t>
      </w:r>
    </w:p>
    <w:p>
      <w:pPr>
        <w:pStyle w:val="5"/>
        <w:widowControl/>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4.评标办法：综合评分法</w:t>
      </w:r>
    </w:p>
    <w:p>
      <w:pPr>
        <w:pStyle w:val="5"/>
        <w:widowControl/>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5.评审专家：</w:t>
      </w:r>
    </w:p>
    <w:tbl>
      <w:tblPr>
        <w:tblStyle w:val="6"/>
        <w:tblW w:w="10056" w:type="dxa"/>
        <w:tblInd w:w="-2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41"/>
        <w:gridCol w:w="2009"/>
        <w:gridCol w:w="2006"/>
        <w:gridCol w:w="2014"/>
        <w:gridCol w:w="19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2041"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仿宋" w:hAnsi="仿宋" w:eastAsia="仿宋"/>
                <w:color w:val="000000"/>
                <w:sz w:val="28"/>
                <w:szCs w:val="28"/>
                <w:highlight w:val="none"/>
                <w:lang w:eastAsia="zh-CN"/>
              </w:rPr>
              <w:t>谢康苗</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仿宋" w:hAnsi="仿宋" w:eastAsia="仿宋"/>
                <w:color w:val="000000"/>
                <w:sz w:val="28"/>
                <w:szCs w:val="28"/>
                <w:highlight w:val="none"/>
                <w:lang w:eastAsia="zh-CN"/>
              </w:rPr>
              <w:t>许必海</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sz w:val="28"/>
                <w:szCs w:val="28"/>
                <w:lang w:val="en-US" w:eastAsia="zh-CN"/>
              </w:rPr>
            </w:pPr>
            <w:r>
              <w:rPr>
                <w:rFonts w:hint="eastAsia" w:ascii="仿宋" w:hAnsi="仿宋" w:eastAsia="仿宋"/>
                <w:color w:val="000000"/>
                <w:sz w:val="28"/>
                <w:szCs w:val="28"/>
                <w:highlight w:val="none"/>
                <w:lang w:eastAsia="zh-CN"/>
              </w:rPr>
              <w:t>韩英杰</w:t>
            </w:r>
          </w:p>
        </w:tc>
        <w:tc>
          <w:tcPr>
            <w:tcW w:w="2014"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sz w:val="28"/>
                <w:szCs w:val="28"/>
                <w:lang w:eastAsia="zh-CN"/>
              </w:rPr>
            </w:pPr>
            <w:r>
              <w:rPr>
                <w:rFonts w:hint="eastAsia" w:ascii="仿宋" w:hAnsi="仿宋" w:eastAsia="仿宋"/>
                <w:color w:val="000000"/>
                <w:sz w:val="28"/>
                <w:szCs w:val="28"/>
                <w:highlight w:val="none"/>
                <w:lang w:eastAsia="zh-CN"/>
              </w:rPr>
              <w:t>彭凤琴</w:t>
            </w:r>
          </w:p>
        </w:tc>
        <w:tc>
          <w:tcPr>
            <w:tcW w:w="1986"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sz w:val="28"/>
                <w:szCs w:val="28"/>
                <w:lang w:eastAsia="zh-CN"/>
              </w:rPr>
            </w:pPr>
            <w:r>
              <w:rPr>
                <w:rFonts w:hint="eastAsia" w:ascii="仿宋" w:hAnsi="仿宋" w:eastAsia="仿宋"/>
                <w:color w:val="000000"/>
                <w:sz w:val="28"/>
                <w:szCs w:val="28"/>
                <w:highlight w:val="none"/>
                <w:lang w:val="en-US" w:eastAsia="zh-CN"/>
              </w:rPr>
              <w:t>曹梦绮</w:t>
            </w:r>
          </w:p>
        </w:tc>
      </w:tr>
    </w:tbl>
    <w:p>
      <w:pPr>
        <w:pStyle w:val="5"/>
        <w:widowControl/>
        <w:numPr>
          <w:ilvl w:val="0"/>
          <w:numId w:val="1"/>
        </w:numPr>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投标供应商及投标报价</w:t>
      </w:r>
    </w:p>
    <w:p>
      <w:pPr>
        <w:pStyle w:val="5"/>
        <w:widowControl/>
        <w:numPr>
          <w:numId w:val="0"/>
        </w:numPr>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bCs/>
          <w:color w:val="000000"/>
          <w:sz w:val="28"/>
          <w:szCs w:val="28"/>
          <w:lang w:val="en-US" w:eastAsia="zh-CN"/>
        </w:rPr>
        <w:t>投标人</w:t>
      </w:r>
      <w:r>
        <w:rPr>
          <w:rFonts w:hint="default" w:ascii="仿宋" w:hAnsi="仿宋" w:eastAsia="仿宋"/>
          <w:bCs/>
          <w:color w:val="000000"/>
          <w:sz w:val="28"/>
          <w:szCs w:val="28"/>
          <w:lang w:val="en-US" w:eastAsia="zh-CN"/>
        </w:rPr>
        <w:t>北京市汉坤（深圳）律师事务所</w:t>
      </w:r>
      <w:r>
        <w:rPr>
          <w:rFonts w:hint="eastAsia" w:ascii="仿宋" w:hAnsi="仿宋" w:eastAsia="仿宋"/>
          <w:bCs/>
          <w:color w:val="000000"/>
          <w:sz w:val="28"/>
          <w:szCs w:val="28"/>
          <w:lang w:val="en-US" w:eastAsia="zh-CN"/>
        </w:rPr>
        <w:t>、广东华商（龙岗）律师事务所和广东深宏盾律师事务所未按招标文件对投标文件组成的要求提供投标文件，未通过符合性审查。</w:t>
      </w:r>
    </w:p>
    <w:tbl>
      <w:tblPr>
        <w:tblStyle w:val="6"/>
        <w:tblW w:w="88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5450"/>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613" w:type="dxa"/>
            <w:noWrap w:val="0"/>
            <w:vAlign w:val="center"/>
          </w:tcPr>
          <w:p>
            <w:pPr>
              <w:pStyle w:val="2"/>
              <w:ind w:firstLine="0"/>
              <w:jc w:val="center"/>
              <w:rPr>
                <w:rFonts w:hint="eastAsia" w:ascii="仿宋" w:hAnsi="仿宋" w:eastAsia="仿宋"/>
                <w:b/>
                <w:color w:val="000000"/>
                <w:szCs w:val="28"/>
              </w:rPr>
            </w:pPr>
            <w:r>
              <w:rPr>
                <w:rFonts w:hint="eastAsia" w:ascii="仿宋" w:hAnsi="仿宋" w:eastAsia="仿宋"/>
                <w:b/>
                <w:color w:val="000000"/>
                <w:szCs w:val="28"/>
              </w:rPr>
              <w:t>名次</w:t>
            </w:r>
          </w:p>
        </w:tc>
        <w:tc>
          <w:tcPr>
            <w:tcW w:w="5450" w:type="dxa"/>
            <w:noWrap w:val="0"/>
            <w:vAlign w:val="center"/>
          </w:tcPr>
          <w:p>
            <w:pPr>
              <w:pStyle w:val="2"/>
              <w:ind w:firstLine="0"/>
              <w:jc w:val="center"/>
              <w:rPr>
                <w:rFonts w:hint="eastAsia" w:ascii="仿宋" w:hAnsi="仿宋" w:eastAsia="仿宋"/>
                <w:b/>
                <w:color w:val="000000"/>
                <w:szCs w:val="28"/>
              </w:rPr>
            </w:pPr>
            <w:r>
              <w:rPr>
                <w:rFonts w:hint="eastAsia" w:ascii="仿宋" w:hAnsi="仿宋" w:eastAsia="仿宋"/>
                <w:b/>
                <w:color w:val="000000"/>
                <w:szCs w:val="28"/>
              </w:rPr>
              <w:t>供应商名称</w:t>
            </w:r>
          </w:p>
        </w:tc>
        <w:tc>
          <w:tcPr>
            <w:tcW w:w="1737" w:type="dxa"/>
            <w:noWrap w:val="0"/>
            <w:vAlign w:val="center"/>
          </w:tcPr>
          <w:p>
            <w:pPr>
              <w:pStyle w:val="2"/>
              <w:ind w:firstLine="0"/>
              <w:jc w:val="center"/>
              <w:rPr>
                <w:rFonts w:hint="eastAsia" w:ascii="仿宋" w:hAnsi="仿宋" w:eastAsia="仿宋"/>
                <w:b/>
                <w:color w:val="000000"/>
                <w:szCs w:val="28"/>
              </w:rPr>
            </w:pPr>
            <w:r>
              <w:rPr>
                <w:rFonts w:hint="eastAsia" w:ascii="仿宋" w:hAnsi="仿宋" w:eastAsia="仿宋"/>
                <w:b/>
                <w:color w:val="000000"/>
                <w:szCs w:val="28"/>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613"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第一名</w:t>
            </w:r>
          </w:p>
        </w:tc>
        <w:tc>
          <w:tcPr>
            <w:tcW w:w="5450"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上海市锦天城（深圳）律师事务所</w:t>
            </w:r>
          </w:p>
        </w:tc>
        <w:tc>
          <w:tcPr>
            <w:tcW w:w="1737"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94.36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613"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第二名</w:t>
            </w:r>
          </w:p>
        </w:tc>
        <w:tc>
          <w:tcPr>
            <w:tcW w:w="5450"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广东卓建律师事务所</w:t>
            </w:r>
          </w:p>
        </w:tc>
        <w:tc>
          <w:tcPr>
            <w:tcW w:w="1737"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61.60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613"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第三名</w:t>
            </w:r>
          </w:p>
        </w:tc>
        <w:tc>
          <w:tcPr>
            <w:tcW w:w="5450"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泰和泰（深圳）律师事务所</w:t>
            </w:r>
          </w:p>
        </w:tc>
        <w:tc>
          <w:tcPr>
            <w:tcW w:w="1737"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59.58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613" w:type="dxa"/>
            <w:shd w:val="clear" w:color="auto" w:fill="auto"/>
            <w:noWrap w:val="0"/>
            <w:vAlign w:val="center"/>
          </w:tcPr>
          <w:p>
            <w:pPr>
              <w:pStyle w:val="2"/>
              <w:ind w:firstLine="0"/>
              <w:jc w:val="center"/>
              <w:rPr>
                <w:rFonts w:hint="default" w:ascii="仿宋" w:hAnsi="仿宋" w:eastAsia="仿宋"/>
                <w:color w:val="000000"/>
                <w:szCs w:val="28"/>
                <w:lang w:val="en-US" w:eastAsia="zh-CN"/>
              </w:rPr>
            </w:pPr>
            <w:r>
              <w:rPr>
                <w:rFonts w:hint="eastAsia" w:ascii="仿宋" w:hAnsi="仿宋" w:eastAsia="仿宋"/>
                <w:color w:val="000000"/>
                <w:szCs w:val="28"/>
                <w:lang w:val="en-US" w:eastAsia="zh-CN"/>
              </w:rPr>
              <w:t>第四名</w:t>
            </w:r>
          </w:p>
        </w:tc>
        <w:tc>
          <w:tcPr>
            <w:tcW w:w="5450"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华商林李黎（前海）联营律师事务所</w:t>
            </w:r>
          </w:p>
        </w:tc>
        <w:tc>
          <w:tcPr>
            <w:tcW w:w="1737"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47.80 </w:t>
            </w:r>
          </w:p>
        </w:tc>
      </w:tr>
    </w:tbl>
    <w:p>
      <w:pPr>
        <w:pStyle w:val="5"/>
        <w:widowControl/>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7.中标供应商及中标金额</w:t>
      </w:r>
    </w:p>
    <w:tbl>
      <w:tblPr>
        <w:tblStyle w:val="6"/>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2"/>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exact"/>
        </w:trPr>
        <w:tc>
          <w:tcPr>
            <w:tcW w:w="5362" w:type="dxa"/>
            <w:vAlign w:val="center"/>
          </w:tcPr>
          <w:p>
            <w:pPr>
              <w:pStyle w:val="2"/>
              <w:ind w:firstLine="0"/>
              <w:jc w:val="center"/>
              <w:rPr>
                <w:rFonts w:hint="eastAsia" w:ascii="仿宋" w:hAnsi="仿宋" w:eastAsia="仿宋"/>
                <w:b/>
                <w:color w:val="000000"/>
                <w:szCs w:val="28"/>
                <w:lang w:val="en-US" w:eastAsia="zh-CN"/>
              </w:rPr>
            </w:pPr>
            <w:r>
              <w:rPr>
                <w:rFonts w:hint="eastAsia" w:ascii="仿宋" w:hAnsi="仿宋" w:eastAsia="仿宋"/>
                <w:b/>
                <w:color w:val="000000"/>
                <w:szCs w:val="28"/>
                <w:lang w:val="en-US" w:eastAsia="zh-CN"/>
              </w:rPr>
              <w:t>中标候选人名称</w:t>
            </w:r>
          </w:p>
        </w:tc>
        <w:tc>
          <w:tcPr>
            <w:tcW w:w="4295" w:type="dxa"/>
            <w:vAlign w:val="center"/>
          </w:tcPr>
          <w:p>
            <w:pPr>
              <w:pStyle w:val="2"/>
              <w:ind w:firstLine="0"/>
              <w:jc w:val="center"/>
              <w:rPr>
                <w:rFonts w:hint="eastAsia" w:ascii="仿宋" w:hAnsi="仿宋" w:eastAsia="仿宋"/>
                <w:b/>
                <w:color w:val="000000"/>
                <w:szCs w:val="28"/>
                <w:lang w:val="en-US" w:eastAsia="zh-CN"/>
              </w:rPr>
            </w:pPr>
            <w:r>
              <w:rPr>
                <w:rFonts w:hint="eastAsia" w:ascii="仿宋" w:hAnsi="仿宋" w:eastAsia="仿宋"/>
                <w:b/>
                <w:color w:val="000000"/>
                <w:szCs w:val="28"/>
                <w:lang w:val="en-US" w:eastAsia="zh-CN"/>
              </w:rPr>
              <w:t>中标金额（元）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exact"/>
        </w:trPr>
        <w:tc>
          <w:tcPr>
            <w:tcW w:w="5362" w:type="dxa"/>
            <w:shd w:val="clear" w:color="auto" w:fill="FFFFFF"/>
            <w:vAlign w:val="center"/>
          </w:tcPr>
          <w:p>
            <w:pPr>
              <w:pStyle w:val="2"/>
              <w:ind w:firstLine="0" w:firstLineChars="0"/>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olor w:val="000000"/>
                <w:kern w:val="2"/>
                <w:sz w:val="28"/>
                <w:szCs w:val="28"/>
                <w:lang w:val="en-US" w:eastAsia="zh-CN" w:bidi="ar-SA"/>
              </w:rPr>
              <w:t>上海市锦天城（深圳）律师事务所</w:t>
            </w:r>
          </w:p>
        </w:tc>
        <w:tc>
          <w:tcPr>
            <w:tcW w:w="4295" w:type="dxa"/>
            <w:shd w:val="clear" w:color="auto" w:fill="FFFFFF"/>
            <w:vAlign w:val="center"/>
          </w:tcPr>
          <w:p>
            <w:pPr>
              <w:pStyle w:val="2"/>
              <w:ind w:firstLine="0" w:firstLineChars="0"/>
              <w:jc w:val="center"/>
              <w:rPr>
                <w:rFonts w:hint="eastAsia" w:ascii="仿宋" w:hAnsi="仿宋" w:eastAsia="仿宋"/>
                <w:color w:val="000000"/>
                <w:szCs w:val="28"/>
                <w:lang w:val="en-US"/>
              </w:rPr>
            </w:pPr>
            <w:r>
              <w:rPr>
                <w:rFonts w:hint="eastAsia" w:ascii="仿宋" w:hAnsi="仿宋" w:eastAsia="仿宋"/>
                <w:color w:val="000000"/>
                <w:kern w:val="2"/>
                <w:sz w:val="28"/>
                <w:szCs w:val="28"/>
                <w:lang w:val="en-US" w:eastAsia="zh-CN" w:bidi="ar-SA"/>
              </w:rPr>
              <w:t>220,000.00</w:t>
            </w:r>
            <w:bookmarkStart w:id="0" w:name="_GoBack"/>
            <w:bookmarkEnd w:id="0"/>
          </w:p>
        </w:tc>
      </w:tr>
    </w:tbl>
    <w:p>
      <w:pPr>
        <w:jc w:val="both"/>
        <w:rPr>
          <w:rFonts w:hint="eastAsia" w:asciiTheme="minorEastAsia" w:hAnsiTheme="minorEastAsia" w:eastAsiaTheme="minorEastAsia" w:cstheme="minorEastAsia"/>
          <w:lang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77D8B"/>
    <w:multiLevelType w:val="singleLevel"/>
    <w:tmpl w:val="1E177D8B"/>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7016F1"/>
    <w:rsid w:val="00B72810"/>
    <w:rsid w:val="00BC2543"/>
    <w:rsid w:val="00FE4508"/>
    <w:rsid w:val="016F130F"/>
    <w:rsid w:val="02C1585B"/>
    <w:rsid w:val="03270195"/>
    <w:rsid w:val="0387407B"/>
    <w:rsid w:val="03CE72CC"/>
    <w:rsid w:val="044D20AA"/>
    <w:rsid w:val="04D677ED"/>
    <w:rsid w:val="04F412AC"/>
    <w:rsid w:val="052744DD"/>
    <w:rsid w:val="05BB5062"/>
    <w:rsid w:val="06713763"/>
    <w:rsid w:val="06A8173D"/>
    <w:rsid w:val="093779EA"/>
    <w:rsid w:val="0A035E67"/>
    <w:rsid w:val="0A0E3651"/>
    <w:rsid w:val="0A601D81"/>
    <w:rsid w:val="0A8641BE"/>
    <w:rsid w:val="0A904AB0"/>
    <w:rsid w:val="0AB7472A"/>
    <w:rsid w:val="0B6103AE"/>
    <w:rsid w:val="0BA14AEA"/>
    <w:rsid w:val="0D266BDC"/>
    <w:rsid w:val="0D8A36E9"/>
    <w:rsid w:val="0DF60143"/>
    <w:rsid w:val="0DF95FC4"/>
    <w:rsid w:val="0E1E1845"/>
    <w:rsid w:val="0E3B3B11"/>
    <w:rsid w:val="0E772391"/>
    <w:rsid w:val="0F2B5C9A"/>
    <w:rsid w:val="0F3F20E6"/>
    <w:rsid w:val="0FA301DD"/>
    <w:rsid w:val="0FFC7D50"/>
    <w:rsid w:val="10A62C52"/>
    <w:rsid w:val="11992AE5"/>
    <w:rsid w:val="11AF39A7"/>
    <w:rsid w:val="11C038DA"/>
    <w:rsid w:val="11E06DF2"/>
    <w:rsid w:val="11E84812"/>
    <w:rsid w:val="125F3E68"/>
    <w:rsid w:val="12684E79"/>
    <w:rsid w:val="13802832"/>
    <w:rsid w:val="1397067E"/>
    <w:rsid w:val="13C13A88"/>
    <w:rsid w:val="13FD6766"/>
    <w:rsid w:val="14B06C35"/>
    <w:rsid w:val="156715EA"/>
    <w:rsid w:val="157F6DAC"/>
    <w:rsid w:val="16731354"/>
    <w:rsid w:val="16F63C40"/>
    <w:rsid w:val="176E6254"/>
    <w:rsid w:val="17A90403"/>
    <w:rsid w:val="17B73D3B"/>
    <w:rsid w:val="198169F7"/>
    <w:rsid w:val="19AC73EB"/>
    <w:rsid w:val="1A0E7C60"/>
    <w:rsid w:val="1AA12244"/>
    <w:rsid w:val="1ABE3A5F"/>
    <w:rsid w:val="1B804EDE"/>
    <w:rsid w:val="1BB4142A"/>
    <w:rsid w:val="1C78312A"/>
    <w:rsid w:val="1CD135FE"/>
    <w:rsid w:val="1D065FD1"/>
    <w:rsid w:val="1DAA40BE"/>
    <w:rsid w:val="1E4701DE"/>
    <w:rsid w:val="1E9E7434"/>
    <w:rsid w:val="1EC42F4A"/>
    <w:rsid w:val="1ED54ADB"/>
    <w:rsid w:val="1F5274CF"/>
    <w:rsid w:val="1F8F7079"/>
    <w:rsid w:val="21D7446E"/>
    <w:rsid w:val="22D752AF"/>
    <w:rsid w:val="23033485"/>
    <w:rsid w:val="23662947"/>
    <w:rsid w:val="23856173"/>
    <w:rsid w:val="240141E8"/>
    <w:rsid w:val="24074148"/>
    <w:rsid w:val="24416539"/>
    <w:rsid w:val="244E7B88"/>
    <w:rsid w:val="24610339"/>
    <w:rsid w:val="24E31CB4"/>
    <w:rsid w:val="25EB3919"/>
    <w:rsid w:val="265056D7"/>
    <w:rsid w:val="26930A7A"/>
    <w:rsid w:val="26CA24E9"/>
    <w:rsid w:val="278E18E5"/>
    <w:rsid w:val="278E2336"/>
    <w:rsid w:val="279A175D"/>
    <w:rsid w:val="28013EAC"/>
    <w:rsid w:val="28280B63"/>
    <w:rsid w:val="284C52CA"/>
    <w:rsid w:val="28852104"/>
    <w:rsid w:val="289E3365"/>
    <w:rsid w:val="28A62AD9"/>
    <w:rsid w:val="28D07231"/>
    <w:rsid w:val="2A244BDC"/>
    <w:rsid w:val="2A812DA8"/>
    <w:rsid w:val="2A904DE8"/>
    <w:rsid w:val="2A9574D1"/>
    <w:rsid w:val="2BAB79DF"/>
    <w:rsid w:val="2C9B29E6"/>
    <w:rsid w:val="2CF25906"/>
    <w:rsid w:val="2D084EF7"/>
    <w:rsid w:val="2D8C5D51"/>
    <w:rsid w:val="2E2F38E9"/>
    <w:rsid w:val="2E7852D5"/>
    <w:rsid w:val="2ED960BE"/>
    <w:rsid w:val="2F1F7F61"/>
    <w:rsid w:val="300A10CF"/>
    <w:rsid w:val="315D555C"/>
    <w:rsid w:val="31BD5741"/>
    <w:rsid w:val="31C5299A"/>
    <w:rsid w:val="31D2662B"/>
    <w:rsid w:val="32193D51"/>
    <w:rsid w:val="324F38BA"/>
    <w:rsid w:val="325A4A53"/>
    <w:rsid w:val="326F40AF"/>
    <w:rsid w:val="329B6B97"/>
    <w:rsid w:val="34461A66"/>
    <w:rsid w:val="349D2135"/>
    <w:rsid w:val="34A93566"/>
    <w:rsid w:val="34F7659B"/>
    <w:rsid w:val="35AE4ACF"/>
    <w:rsid w:val="35C50F30"/>
    <w:rsid w:val="35DD3BE3"/>
    <w:rsid w:val="35F33062"/>
    <w:rsid w:val="365A6E00"/>
    <w:rsid w:val="36803E7B"/>
    <w:rsid w:val="370102BF"/>
    <w:rsid w:val="37293C5A"/>
    <w:rsid w:val="377A6F6F"/>
    <w:rsid w:val="381E5C60"/>
    <w:rsid w:val="385A11F5"/>
    <w:rsid w:val="38627325"/>
    <w:rsid w:val="390E2AB8"/>
    <w:rsid w:val="397D277E"/>
    <w:rsid w:val="39A32AA1"/>
    <w:rsid w:val="39AA4274"/>
    <w:rsid w:val="3A66381B"/>
    <w:rsid w:val="3AAA2652"/>
    <w:rsid w:val="3AFD408B"/>
    <w:rsid w:val="3B3238A1"/>
    <w:rsid w:val="3B911156"/>
    <w:rsid w:val="3BDD3008"/>
    <w:rsid w:val="3C3A3232"/>
    <w:rsid w:val="3D161A9F"/>
    <w:rsid w:val="3D35227A"/>
    <w:rsid w:val="3DBC5722"/>
    <w:rsid w:val="3E0C4AB9"/>
    <w:rsid w:val="3F0A6ADE"/>
    <w:rsid w:val="3F296A5F"/>
    <w:rsid w:val="3F3F2208"/>
    <w:rsid w:val="3F4A1EA5"/>
    <w:rsid w:val="3F5165AE"/>
    <w:rsid w:val="3FCF3140"/>
    <w:rsid w:val="40087C64"/>
    <w:rsid w:val="4023396D"/>
    <w:rsid w:val="418D0D16"/>
    <w:rsid w:val="41C6000C"/>
    <w:rsid w:val="4217630D"/>
    <w:rsid w:val="421F2D37"/>
    <w:rsid w:val="422C4569"/>
    <w:rsid w:val="4250636E"/>
    <w:rsid w:val="42C55A43"/>
    <w:rsid w:val="42E45328"/>
    <w:rsid w:val="435B7113"/>
    <w:rsid w:val="43FA485D"/>
    <w:rsid w:val="44951AB1"/>
    <w:rsid w:val="44EB5068"/>
    <w:rsid w:val="456831C1"/>
    <w:rsid w:val="458269EA"/>
    <w:rsid w:val="466C6DB8"/>
    <w:rsid w:val="46BC1D42"/>
    <w:rsid w:val="47046985"/>
    <w:rsid w:val="47B54EE8"/>
    <w:rsid w:val="482E3EAC"/>
    <w:rsid w:val="485E064E"/>
    <w:rsid w:val="48922691"/>
    <w:rsid w:val="48E82653"/>
    <w:rsid w:val="490834C0"/>
    <w:rsid w:val="4AA87CFA"/>
    <w:rsid w:val="4AF93D46"/>
    <w:rsid w:val="4B645F92"/>
    <w:rsid w:val="4C6B05EA"/>
    <w:rsid w:val="4C760259"/>
    <w:rsid w:val="4CDF473E"/>
    <w:rsid w:val="4D917BC6"/>
    <w:rsid w:val="4D9E0A3B"/>
    <w:rsid w:val="4DBE2C48"/>
    <w:rsid w:val="4DFB40C0"/>
    <w:rsid w:val="4FC759DB"/>
    <w:rsid w:val="4FDD16A7"/>
    <w:rsid w:val="50251EC3"/>
    <w:rsid w:val="503346E6"/>
    <w:rsid w:val="503819CE"/>
    <w:rsid w:val="508E272A"/>
    <w:rsid w:val="513E0438"/>
    <w:rsid w:val="51D14ACF"/>
    <w:rsid w:val="52557210"/>
    <w:rsid w:val="53185CC8"/>
    <w:rsid w:val="532E4853"/>
    <w:rsid w:val="537D32DB"/>
    <w:rsid w:val="549B1E28"/>
    <w:rsid w:val="54E90883"/>
    <w:rsid w:val="558F7F20"/>
    <w:rsid w:val="55B23C61"/>
    <w:rsid w:val="55D742D3"/>
    <w:rsid w:val="56625B8E"/>
    <w:rsid w:val="5691161B"/>
    <w:rsid w:val="575D7CA1"/>
    <w:rsid w:val="57BA2E4A"/>
    <w:rsid w:val="582C0CD3"/>
    <w:rsid w:val="59560627"/>
    <w:rsid w:val="5B164C9B"/>
    <w:rsid w:val="5B88724B"/>
    <w:rsid w:val="5B8D4116"/>
    <w:rsid w:val="5C730819"/>
    <w:rsid w:val="5C83460C"/>
    <w:rsid w:val="5E0B0F1E"/>
    <w:rsid w:val="5E3D2A4E"/>
    <w:rsid w:val="5E642A9A"/>
    <w:rsid w:val="601A4563"/>
    <w:rsid w:val="604E0B56"/>
    <w:rsid w:val="60632B0C"/>
    <w:rsid w:val="60806A10"/>
    <w:rsid w:val="60A94AB3"/>
    <w:rsid w:val="60B94C87"/>
    <w:rsid w:val="611951EC"/>
    <w:rsid w:val="613E077C"/>
    <w:rsid w:val="614120E5"/>
    <w:rsid w:val="616E7267"/>
    <w:rsid w:val="631B5A66"/>
    <w:rsid w:val="633679E3"/>
    <w:rsid w:val="635A5AD6"/>
    <w:rsid w:val="6367257E"/>
    <w:rsid w:val="64B7788B"/>
    <w:rsid w:val="64C542B7"/>
    <w:rsid w:val="64EB3505"/>
    <w:rsid w:val="64F76919"/>
    <w:rsid w:val="65B04E6F"/>
    <w:rsid w:val="65DF73C4"/>
    <w:rsid w:val="6689732B"/>
    <w:rsid w:val="6697151C"/>
    <w:rsid w:val="66D07D09"/>
    <w:rsid w:val="66EE0C39"/>
    <w:rsid w:val="66F7014E"/>
    <w:rsid w:val="676859F4"/>
    <w:rsid w:val="67C47B2A"/>
    <w:rsid w:val="68C1465C"/>
    <w:rsid w:val="6958744F"/>
    <w:rsid w:val="69AD6419"/>
    <w:rsid w:val="6AB53D8A"/>
    <w:rsid w:val="6AE547CC"/>
    <w:rsid w:val="6B274D63"/>
    <w:rsid w:val="6B456CBB"/>
    <w:rsid w:val="6CDD2982"/>
    <w:rsid w:val="6D1D677D"/>
    <w:rsid w:val="6E121085"/>
    <w:rsid w:val="6E82099F"/>
    <w:rsid w:val="6E8654BF"/>
    <w:rsid w:val="6E942CF7"/>
    <w:rsid w:val="6F2D24B9"/>
    <w:rsid w:val="6F8D674F"/>
    <w:rsid w:val="6FA67838"/>
    <w:rsid w:val="704C7D7A"/>
    <w:rsid w:val="707315B1"/>
    <w:rsid w:val="71064DFB"/>
    <w:rsid w:val="71164E90"/>
    <w:rsid w:val="711F0740"/>
    <w:rsid w:val="726F1323"/>
    <w:rsid w:val="72EA1FF2"/>
    <w:rsid w:val="73142E23"/>
    <w:rsid w:val="735C3B8D"/>
    <w:rsid w:val="73AE07F0"/>
    <w:rsid w:val="746F4C52"/>
    <w:rsid w:val="74CA1F28"/>
    <w:rsid w:val="74EA0B6C"/>
    <w:rsid w:val="74F31534"/>
    <w:rsid w:val="74FE1EAA"/>
    <w:rsid w:val="75561563"/>
    <w:rsid w:val="757D7FD5"/>
    <w:rsid w:val="75912428"/>
    <w:rsid w:val="75F41982"/>
    <w:rsid w:val="762C3D01"/>
    <w:rsid w:val="76F673E2"/>
    <w:rsid w:val="77001DDB"/>
    <w:rsid w:val="77464F1B"/>
    <w:rsid w:val="77AD664C"/>
    <w:rsid w:val="77E502D2"/>
    <w:rsid w:val="78297A04"/>
    <w:rsid w:val="789B21FB"/>
    <w:rsid w:val="78B902CF"/>
    <w:rsid w:val="78E33119"/>
    <w:rsid w:val="7923504E"/>
    <w:rsid w:val="79967E18"/>
    <w:rsid w:val="7A061C00"/>
    <w:rsid w:val="7AA61BCA"/>
    <w:rsid w:val="7B7C1735"/>
    <w:rsid w:val="7C123B62"/>
    <w:rsid w:val="7DAB354D"/>
    <w:rsid w:val="7E0C34BF"/>
    <w:rsid w:val="7ED162F9"/>
    <w:rsid w:val="7F5F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ind w:firstLine="576"/>
    </w:pPr>
    <w:rPr>
      <w:rFonts w:hint="eastAsia" w:ascii="楷体_GB2312" w:hAnsi="Times New Roman" w:eastAsia="楷体_GB2312" w:cs="Times New Roman"/>
      <w:sz w:val="2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正文文本缩进 Char"/>
    <w:basedOn w:val="7"/>
    <w:link w:val="2"/>
    <w:qFormat/>
    <w:uiPriority w:val="0"/>
    <w:rPr>
      <w:rFonts w:hint="eastAsia" w:ascii="楷体_GB2312" w:eastAsia="楷体_GB2312" w:cs="楷体_GB2312"/>
      <w:kern w:val="2"/>
      <w:sz w:val="28"/>
      <w:szCs w:val="24"/>
    </w:rPr>
  </w:style>
  <w:style w:type="paragraph" w:customStyle="1" w:styleId="11">
    <w:name w:val="_Style 2"/>
    <w:basedOn w:val="1"/>
    <w:unhideWhenUsed/>
    <w:qFormat/>
    <w:uiPriority w:val="99"/>
    <w:pPr>
      <w:ind w:firstLine="420" w:firstLineChars="200"/>
    </w:pPr>
    <w:rPr>
      <w:rFonts w:ascii="Calibri" w:hAnsi="Calibri" w:eastAsia="宋体" w:cs="Times New Roman"/>
      <w:szCs w:val="22"/>
    </w:rPr>
  </w:style>
  <w:style w:type="character" w:customStyle="1" w:styleId="12">
    <w:name w:val="页眉 Char"/>
    <w:basedOn w:val="7"/>
    <w:link w:val="4"/>
    <w:qFormat/>
    <w:uiPriority w:val="0"/>
    <w:rPr>
      <w:rFonts w:asciiTheme="minorHAnsi" w:hAnsiTheme="minorHAnsi" w:eastAsiaTheme="minorEastAsia" w:cstheme="minorBidi"/>
      <w:kern w:val="2"/>
      <w:sz w:val="18"/>
      <w:szCs w:val="18"/>
    </w:rPr>
  </w:style>
  <w:style w:type="character" w:customStyle="1" w:styleId="13">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Words>
  <Characters>360</Characters>
  <Lines>3</Lines>
  <Paragraphs>1</Paragraphs>
  <TotalTime>0</TotalTime>
  <ScaleCrop>false</ScaleCrop>
  <LinksUpToDate>false</LinksUpToDate>
  <CharactersWithSpaces>421</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2017-04-19T01:22:00Z</dcterms:created>
  <dc:creator>Administrator</dc:creator>
  <cp:lastModifiedBy>YanYan海</cp:lastModifiedBy>
  <dcterms:modified xsi:type="dcterms:W3CDTF">2019-10-28T15:55:25Z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