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1.项目名称：物理系绿光钻石切割机采购项目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2.招标编号：SUSTech-2019-348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3.开标日期：2019年10月21日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张贤高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刘连福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姜继平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吴向方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马德江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广州三义激光科技有限公司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90.88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广州联达激光科技有限公司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深圳市骁龙激光设备有限公司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72.88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广州三义激光科技有限公司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498000.00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600C0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2019-10-23T00:46:58Z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