
<file path=[Content_Types].xml><?xml version="1.0" encoding="utf-8"?>
<Types xmlns="http://schemas.openxmlformats.org/package/2006/content-types">
  <Default Extension="xml" ContentType="application/xml"/>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b/>
          <w:sz w:val="52"/>
          <w:szCs w:val="52"/>
        </w:rPr>
      </w:pPr>
      <w:r>
        <w:rPr>
          <w:rFonts w:hint="eastAsia" w:ascii="宋体" w:hAnsi="宋体"/>
          <w:b/>
          <w:sz w:val="52"/>
          <w:szCs w:val="52"/>
        </w:rPr>
        <w:t>项目管理要求</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投标人应服从学校的所有管理规定，尤其对本招标文件附件的各项管理制度应认真研读。</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一、招标人不承诺提供住宿、临时生活场地等给投标人；招标人不承诺提供食堂便利；</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二、投标人投标文件中承诺的项目主要负责人员，包括但不限于项目负责人、技术负责人、安全员、质检员、资料员等必须按时到岗。现场人员与投标文件不符的且无正当理由的，招标人按2000元/人/天的标准按实扣减工程款。投标人因为客观原因更换管理人员的，必须以书面形式报招标人和监理批准；</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三、投标人不按招标文件要求报审施工方案、申报材料品牌等要求的，以监理通知要求的日期为准，逾期申报的按工期拖延标准进行处罚。对未经审批的材料经查不合格的返工重做。施工方案未经审批擅自开工造成损失和安全事故的，视为投标人的重大违约，招标人可立即终止合同并有权向投标人索赔相应损失；</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四、投标人违反学校安全文明施工规定的，除按规定进行处罚之外，被校园各部门巡查到合计三次以上的，项目负责人还需录制检讨视频；六次以上的，公司负责人需录制检讨视频并停工整顿，工期不得顺延；</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五、投标人对进场的施工人员必须进行安全和校园文明施工交底，尤其对如何不影响学校正常秩序和防止骚扰学生要专题交底，对于未进行相应交底的，停工整顿，工期不予顺延；</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六、投标人必须对施工人员进行技术工艺交底，否则不能进行施工，相应工期不予顺延；</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七、投标人落实工期的措施必须到位，二次及以上无法落实到位的，招标人可以聘请第三方入场施工，相应费用按招标人编制的标底计算，由投标人承担；</w:t>
      </w:r>
    </w:p>
    <w:p>
      <w:pPr>
        <w:spacing w:line="360" w:lineRule="auto"/>
        <w:ind w:firstLine="643" w:firstLineChars="200"/>
        <w:jc w:val="left"/>
        <w:rPr>
          <w:rFonts w:ascii="华文仿宋" w:hAnsi="华文仿宋" w:eastAsia="华文仿宋"/>
          <w:b/>
          <w:sz w:val="32"/>
          <w:szCs w:val="32"/>
        </w:rPr>
      </w:pPr>
      <w:r>
        <w:rPr>
          <w:rFonts w:hint="eastAsia" w:ascii="华文仿宋" w:hAnsi="华文仿宋" w:eastAsia="华文仿宋"/>
          <w:b/>
          <w:sz w:val="32"/>
          <w:szCs w:val="32"/>
        </w:rPr>
        <w:t>八、投标人对于监理签发的整改通知必须及时回复，逾期回复的按工期延误处理，按合同处罚。</w:t>
      </w:r>
    </w:p>
    <w:p>
      <w:pPr>
        <w:spacing w:line="360" w:lineRule="auto"/>
        <w:jc w:val="left"/>
        <w:rPr>
          <w:rFonts w:ascii="华文仿宋" w:hAnsi="华文仿宋" w:eastAsia="华文仿宋"/>
          <w:sz w:val="20"/>
          <w:szCs w:val="20"/>
        </w:rPr>
      </w:pPr>
    </w:p>
    <w:p>
      <w:pPr>
        <w:spacing w:line="360" w:lineRule="auto"/>
        <w:jc w:val="left"/>
        <w:rPr>
          <w:rFonts w:ascii="华文仿宋" w:hAnsi="华文仿宋" w:eastAsia="华文仿宋"/>
          <w:sz w:val="20"/>
          <w:szCs w:val="20"/>
        </w:rPr>
      </w:pPr>
    </w:p>
    <w:p>
      <w:pPr>
        <w:spacing w:line="360" w:lineRule="auto"/>
        <w:jc w:val="left"/>
        <w:rPr>
          <w:rFonts w:ascii="华文仿宋" w:hAnsi="华文仿宋" w:eastAsia="华文仿宋"/>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jc w:val="center"/>
        <w:rPr>
          <w:rFonts w:ascii="宋体" w:hAnsi="宋体"/>
          <w:sz w:val="20"/>
          <w:szCs w:val="20"/>
        </w:rPr>
      </w:pPr>
    </w:p>
    <w:p>
      <w:pPr>
        <w:spacing w:line="360" w:lineRule="auto"/>
        <w:rPr>
          <w:rFonts w:eastAsia="黑体"/>
          <w:sz w:val="36"/>
        </w:rPr>
      </w:pPr>
    </w:p>
    <w:p>
      <w:pPr>
        <w:spacing w:line="360" w:lineRule="auto"/>
        <w:rPr>
          <w:rFonts w:eastAsia="黑体"/>
          <w:sz w:val="36"/>
        </w:rPr>
      </w:pPr>
    </w:p>
    <w:p>
      <w:pPr>
        <w:spacing w:line="360" w:lineRule="auto"/>
        <w:rPr>
          <w:rFonts w:eastAsia="黑体"/>
          <w:sz w:val="36"/>
        </w:rPr>
      </w:pPr>
    </w:p>
    <w:p>
      <w:pPr>
        <w:spacing w:line="360" w:lineRule="auto"/>
        <w:jc w:val="center"/>
        <w:rPr>
          <w:rFonts w:eastAsia="黑体"/>
          <w:sz w:val="72"/>
          <w:szCs w:val="72"/>
        </w:rPr>
      </w:pPr>
      <w:r>
        <w:rPr>
          <w:rFonts w:hint="eastAsia" w:eastAsia="黑体"/>
          <w:sz w:val="72"/>
          <w:szCs w:val="72"/>
        </w:rPr>
        <w:t>技术规范及要求</w:t>
      </w: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eastAsia="黑体"/>
          <w:sz w:val="48"/>
          <w:szCs w:val="48"/>
        </w:rPr>
      </w:pPr>
    </w:p>
    <w:p>
      <w:pPr>
        <w:spacing w:line="360" w:lineRule="auto"/>
        <w:jc w:val="center"/>
        <w:rPr>
          <w:rFonts w:hint="eastAsia" w:eastAsia="黑体"/>
          <w:sz w:val="48"/>
          <w:szCs w:val="48"/>
        </w:rPr>
      </w:pPr>
      <w:r>
        <w:rPr>
          <w:rFonts w:hint="eastAsia" w:eastAsia="黑体"/>
          <w:sz w:val="48"/>
          <w:szCs w:val="48"/>
        </w:rPr>
        <w:br w:type="page"/>
      </w:r>
    </w:p>
    <w:p>
      <w:pPr>
        <w:spacing w:line="360" w:lineRule="auto"/>
        <w:jc w:val="center"/>
        <w:rPr>
          <w:rFonts w:eastAsia="黑体"/>
          <w:sz w:val="48"/>
          <w:szCs w:val="48"/>
        </w:rPr>
      </w:pPr>
      <w:r>
        <w:rPr>
          <w:rFonts w:hint="eastAsia" w:eastAsia="黑体"/>
          <w:sz w:val="48"/>
          <w:szCs w:val="48"/>
        </w:rPr>
        <w:t>第一部分  土建工程技术要求</w:t>
      </w:r>
    </w:p>
    <w:p>
      <w:pPr>
        <w:spacing w:before="360" w:beforeLines="150" w:after="120" w:afterLines="50" w:line="360" w:lineRule="auto"/>
        <w:jc w:val="center"/>
        <w:rPr>
          <w:b/>
          <w:sz w:val="36"/>
          <w:szCs w:val="36"/>
        </w:rPr>
      </w:pPr>
      <w:r>
        <w:rPr>
          <w:rFonts w:hint="eastAsia"/>
          <w:b/>
          <w:sz w:val="36"/>
          <w:szCs w:val="36"/>
        </w:rPr>
        <w:t>第一章 概况</w:t>
      </w:r>
    </w:p>
    <w:p>
      <w:pPr>
        <w:spacing w:before="360" w:beforeLines="150" w:after="120" w:afterLines="50" w:line="360" w:lineRule="auto"/>
        <w:jc w:val="center"/>
        <w:rPr>
          <w:b/>
          <w:sz w:val="28"/>
          <w:szCs w:val="28"/>
        </w:rPr>
      </w:pPr>
      <w:r>
        <w:rPr>
          <w:rFonts w:hint="eastAsia"/>
          <w:b/>
          <w:sz w:val="28"/>
          <w:szCs w:val="28"/>
        </w:rPr>
        <w:t>第一节  工程简介</w:t>
      </w:r>
    </w:p>
    <w:p>
      <w:pPr>
        <w:spacing w:before="360" w:beforeLines="150" w:after="120" w:afterLines="50" w:line="360" w:lineRule="auto"/>
        <w:ind w:firstLine="420" w:firstLineChars="200"/>
      </w:pPr>
      <w:r>
        <w:rPr>
          <w:rFonts w:hint="eastAsia"/>
          <w:bCs/>
        </w:rPr>
        <w:t>原则上涵盖了以学校建设行政主管部门的所有土建工程建设项目。</w:t>
      </w:r>
    </w:p>
    <w:p>
      <w:pPr>
        <w:spacing w:before="360" w:beforeLines="150" w:after="120" w:afterLines="50" w:line="360" w:lineRule="auto"/>
        <w:jc w:val="center"/>
        <w:rPr>
          <w:b/>
          <w:sz w:val="28"/>
          <w:szCs w:val="28"/>
        </w:rPr>
      </w:pPr>
      <w:r>
        <w:rPr>
          <w:rFonts w:hint="eastAsia"/>
          <w:b/>
          <w:sz w:val="28"/>
          <w:szCs w:val="28"/>
        </w:rPr>
        <w:t xml:space="preserve">第二节 </w:t>
      </w:r>
      <w:r>
        <w:rPr>
          <w:b/>
          <w:sz w:val="28"/>
          <w:szCs w:val="28"/>
        </w:rPr>
        <w:t xml:space="preserve"> </w:t>
      </w:r>
      <w:r>
        <w:rPr>
          <w:rFonts w:hint="eastAsia"/>
          <w:b/>
          <w:sz w:val="28"/>
          <w:szCs w:val="28"/>
        </w:rPr>
        <w:t>法律法规</w:t>
      </w:r>
    </w:p>
    <w:p>
      <w:pPr>
        <w:spacing w:line="360" w:lineRule="auto"/>
        <w:ind w:firstLine="420" w:firstLineChars="200"/>
        <w:rPr>
          <w:rFonts w:ascii="宋体" w:hAnsi="宋体"/>
        </w:rPr>
      </w:pPr>
      <w:r>
        <w:rPr>
          <w:rFonts w:hint="eastAsia" w:ascii="宋体" w:hAnsi="宋体"/>
        </w:rPr>
        <w:t>项目应严格按照国家与地方的有关法律法规及相关技术规范进行施工。相关技术规范规程如下（包括但不限于）：</w:t>
      </w:r>
    </w:p>
    <w:p>
      <w:pPr>
        <w:spacing w:line="360" w:lineRule="auto"/>
        <w:ind w:firstLine="420" w:firstLineChars="200"/>
        <w:jc w:val="left"/>
        <w:rPr>
          <w:rFonts w:ascii="宋体" w:hAnsi="宋体"/>
        </w:rPr>
      </w:pPr>
      <w:r>
        <w:rPr>
          <w:rFonts w:hint="eastAsia" w:ascii="宋体" w:hAnsi="宋体"/>
        </w:rPr>
        <w:t>1、《建筑工程施工质量统一标准》（GB50300-2001）</w:t>
      </w:r>
    </w:p>
    <w:p>
      <w:pPr>
        <w:spacing w:line="360" w:lineRule="auto"/>
        <w:ind w:firstLine="420" w:firstLineChars="200"/>
        <w:jc w:val="left"/>
        <w:rPr>
          <w:rFonts w:ascii="宋体" w:hAnsi="宋体"/>
        </w:rPr>
      </w:pPr>
      <w:r>
        <w:rPr>
          <w:rFonts w:hint="eastAsia" w:ascii="宋体" w:hAnsi="宋体"/>
        </w:rPr>
        <w:t>2、《砌体工程施工质量验收规范》（GB50203-2002）</w:t>
      </w:r>
    </w:p>
    <w:p>
      <w:pPr>
        <w:spacing w:line="360" w:lineRule="auto"/>
        <w:ind w:firstLine="420" w:firstLineChars="200"/>
        <w:jc w:val="left"/>
        <w:rPr>
          <w:rFonts w:ascii="宋体" w:hAnsi="宋体"/>
        </w:rPr>
      </w:pPr>
      <w:r>
        <w:rPr>
          <w:rFonts w:hint="eastAsia" w:ascii="宋体" w:hAnsi="宋体"/>
        </w:rPr>
        <w:t>3、《混凝土结构工程施工质量验收规范》（GB50204-2002）</w:t>
      </w:r>
    </w:p>
    <w:p>
      <w:pPr>
        <w:spacing w:line="360" w:lineRule="auto"/>
        <w:ind w:firstLine="420" w:firstLineChars="200"/>
        <w:jc w:val="left"/>
        <w:rPr>
          <w:rFonts w:ascii="宋体" w:hAnsi="宋体"/>
        </w:rPr>
      </w:pPr>
      <w:r>
        <w:rPr>
          <w:rFonts w:hint="eastAsia" w:ascii="宋体" w:hAnsi="宋体"/>
        </w:rPr>
        <w:t>4、《屋面工程质量验收规范》（GB50207-2002）</w:t>
      </w:r>
    </w:p>
    <w:p>
      <w:pPr>
        <w:spacing w:line="360" w:lineRule="auto"/>
        <w:ind w:firstLine="420" w:firstLineChars="200"/>
        <w:jc w:val="left"/>
        <w:rPr>
          <w:rFonts w:ascii="宋体" w:hAnsi="宋体"/>
        </w:rPr>
      </w:pPr>
      <w:r>
        <w:rPr>
          <w:rFonts w:hint="eastAsia" w:ascii="宋体" w:hAnsi="宋体"/>
        </w:rPr>
        <w:t>5、《建筑地面工程施工质量验收规范》（GB50209-2002）</w:t>
      </w:r>
    </w:p>
    <w:p>
      <w:pPr>
        <w:spacing w:line="360" w:lineRule="auto"/>
        <w:ind w:firstLine="420" w:firstLineChars="200"/>
        <w:jc w:val="left"/>
        <w:rPr>
          <w:rFonts w:ascii="宋体" w:hAnsi="宋体"/>
        </w:rPr>
      </w:pPr>
      <w:r>
        <w:rPr>
          <w:rFonts w:hint="eastAsia" w:ascii="宋体" w:hAnsi="宋体"/>
        </w:rPr>
        <w:t>6、《建筑装饰装修工程质量验收规范》(GB50210-</w:t>
      </w:r>
      <w:r>
        <w:rPr>
          <w:rFonts w:ascii="宋体" w:hAnsi="宋体"/>
        </w:rPr>
        <w:t>200</w:t>
      </w:r>
      <w:r>
        <w:rPr>
          <w:rFonts w:hint="eastAsia" w:ascii="宋体" w:hAnsi="宋体"/>
        </w:rPr>
        <w:t>1)</w:t>
      </w:r>
    </w:p>
    <w:p>
      <w:pPr>
        <w:spacing w:line="360" w:lineRule="auto"/>
        <w:ind w:firstLine="420" w:firstLineChars="200"/>
        <w:jc w:val="left"/>
        <w:rPr>
          <w:rFonts w:ascii="宋体" w:hAnsi="宋体"/>
        </w:rPr>
      </w:pPr>
      <w:r>
        <w:rPr>
          <w:rFonts w:hint="eastAsia" w:ascii="宋体" w:hAnsi="宋体"/>
        </w:rPr>
        <w:t>7、</w:t>
      </w:r>
      <w:r>
        <w:rPr>
          <w:rFonts w:ascii="宋体" w:hAnsi="宋体"/>
        </w:rPr>
        <w:t>《建筑节能工程施工验收规范》GB50411-2007</w:t>
      </w:r>
    </w:p>
    <w:p>
      <w:pPr>
        <w:spacing w:line="360" w:lineRule="auto"/>
        <w:ind w:firstLine="420" w:firstLineChars="200"/>
        <w:jc w:val="left"/>
        <w:rPr>
          <w:rFonts w:ascii="宋体" w:hAnsi="宋体"/>
        </w:rPr>
      </w:pPr>
      <w:r>
        <w:rPr>
          <w:rFonts w:hint="eastAsia" w:ascii="宋体" w:hAnsi="宋体"/>
        </w:rPr>
        <w:t>8、《民用建筑工程室内环境控制规范》（GB50325-2001）（2006年版）</w:t>
      </w:r>
    </w:p>
    <w:p>
      <w:pPr>
        <w:spacing w:line="360" w:lineRule="auto"/>
        <w:ind w:firstLine="420" w:firstLineChars="200"/>
        <w:jc w:val="left"/>
        <w:rPr>
          <w:rFonts w:ascii="宋体" w:hAnsi="宋体"/>
        </w:rPr>
      </w:pPr>
      <w:r>
        <w:rPr>
          <w:rFonts w:hint="eastAsia" w:ascii="宋体" w:hAnsi="宋体"/>
        </w:rPr>
        <w:t>9、《混凝土质量控制标准》(</w:t>
      </w:r>
      <w:r>
        <w:rPr>
          <w:rFonts w:ascii="宋体" w:hAnsi="宋体"/>
        </w:rPr>
        <w:t>GB50164</w:t>
      </w:r>
      <w:r>
        <w:rPr>
          <w:rFonts w:hint="eastAsia" w:ascii="宋体" w:hAnsi="宋体"/>
        </w:rPr>
        <w:t>-</w:t>
      </w:r>
      <w:r>
        <w:rPr>
          <w:rFonts w:ascii="宋体" w:hAnsi="宋体"/>
        </w:rPr>
        <w:t>92</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14、《混凝土及预制混凝土构件质量控制规程》（CECS 40:92）</w:t>
      </w:r>
      <w:r>
        <w:rPr>
          <w:rFonts w:hint="eastAsia" w:ascii="宋体" w:hAnsi="宋体"/>
        </w:rPr>
        <w:tab/>
      </w:r>
    </w:p>
    <w:p>
      <w:pPr>
        <w:spacing w:line="360" w:lineRule="auto"/>
        <w:ind w:firstLine="420" w:firstLineChars="200"/>
        <w:jc w:val="left"/>
        <w:rPr>
          <w:rFonts w:ascii="宋体" w:hAnsi="宋体"/>
        </w:rPr>
      </w:pPr>
      <w:r>
        <w:rPr>
          <w:rFonts w:hint="eastAsia" w:ascii="宋体" w:hAnsi="宋体"/>
        </w:rPr>
        <w:t>15、《混凝土外加剂应用技术规范》（GB 50119-2003）</w:t>
      </w:r>
      <w:r>
        <w:rPr>
          <w:rFonts w:hint="eastAsia" w:ascii="宋体" w:hAnsi="宋体"/>
        </w:rPr>
        <w:tab/>
      </w:r>
    </w:p>
    <w:p>
      <w:pPr>
        <w:spacing w:line="360" w:lineRule="auto"/>
        <w:ind w:firstLine="420" w:firstLineChars="200"/>
        <w:rPr>
          <w:rFonts w:ascii="宋体" w:hAnsi="宋体"/>
        </w:rPr>
      </w:pPr>
      <w:r>
        <w:rPr>
          <w:rFonts w:hint="eastAsia" w:ascii="宋体" w:hAnsi="宋体"/>
        </w:rPr>
        <w:t>16、《钢筋混凝土用热轧光圆钢筋》（</w:t>
      </w:r>
      <w:r>
        <w:rPr>
          <w:rFonts w:ascii="宋体" w:hAnsi="宋体"/>
        </w:rPr>
        <w:t>GB 13013-1991</w:t>
      </w:r>
      <w:r>
        <w:rPr>
          <w:rFonts w:hint="eastAsia" w:ascii="宋体" w:hAnsi="宋体"/>
        </w:rPr>
        <w:t>）</w:t>
      </w:r>
    </w:p>
    <w:p>
      <w:pPr>
        <w:spacing w:line="360" w:lineRule="auto"/>
        <w:ind w:firstLine="420" w:firstLineChars="200"/>
        <w:rPr>
          <w:rFonts w:ascii="宋体" w:hAnsi="宋体"/>
        </w:rPr>
      </w:pPr>
      <w:r>
        <w:rPr>
          <w:rFonts w:hint="eastAsia" w:ascii="宋体" w:hAnsi="宋体"/>
        </w:rPr>
        <w:t>17、《钢结构高强度螺栓连接的设计、施工及验收规程》（</w:t>
      </w:r>
      <w:r>
        <w:rPr>
          <w:rFonts w:ascii="宋体" w:hAnsi="宋体"/>
        </w:rPr>
        <w:t>JGJ82-91</w:t>
      </w:r>
      <w:r>
        <w:rPr>
          <w:rFonts w:hint="eastAsia" w:ascii="宋体" w:hAnsi="宋体"/>
        </w:rPr>
        <w:t>）</w:t>
      </w:r>
    </w:p>
    <w:p>
      <w:pPr>
        <w:spacing w:line="360" w:lineRule="auto"/>
        <w:ind w:firstLine="420" w:firstLineChars="200"/>
        <w:rPr>
          <w:rFonts w:ascii="宋体" w:hAnsi="宋体"/>
        </w:rPr>
      </w:pPr>
      <w:r>
        <w:rPr>
          <w:rFonts w:hint="eastAsia" w:ascii="宋体" w:hAnsi="宋体"/>
        </w:rPr>
        <w:t>18、《建筑钢结构焊接技术规程》（JGJ 81-2002、J218-2002）</w:t>
      </w:r>
    </w:p>
    <w:p>
      <w:pPr>
        <w:spacing w:line="360" w:lineRule="auto"/>
        <w:ind w:firstLine="420" w:firstLineChars="200"/>
        <w:rPr>
          <w:rFonts w:ascii="宋体" w:hAnsi="宋体"/>
        </w:rPr>
      </w:pPr>
      <w:r>
        <w:rPr>
          <w:rFonts w:hint="eastAsia" w:ascii="宋体" w:hAnsi="宋体"/>
        </w:rPr>
        <w:t>19、《碳素结构钢》（GB／T 700-2006）</w:t>
      </w:r>
    </w:p>
    <w:p>
      <w:pPr>
        <w:spacing w:line="360" w:lineRule="auto"/>
        <w:ind w:firstLine="420" w:firstLineChars="200"/>
        <w:rPr>
          <w:rFonts w:ascii="宋体" w:hAnsi="宋体"/>
        </w:rPr>
      </w:pPr>
      <w:r>
        <w:rPr>
          <w:rFonts w:hint="eastAsia" w:ascii="宋体" w:hAnsi="宋体"/>
        </w:rPr>
        <w:t>20、《低合金高强度结构钢》（</w:t>
      </w:r>
      <w:r>
        <w:rPr>
          <w:rFonts w:ascii="宋体" w:hAnsi="宋体"/>
        </w:rPr>
        <w:t>GB/T 1591-1994</w:t>
      </w:r>
      <w:r>
        <w:rPr>
          <w:rFonts w:hint="eastAsia" w:ascii="宋体" w:hAnsi="宋体"/>
        </w:rPr>
        <w:t>）</w:t>
      </w:r>
    </w:p>
    <w:p>
      <w:pPr>
        <w:spacing w:line="360" w:lineRule="auto"/>
        <w:ind w:firstLine="420" w:firstLineChars="200"/>
        <w:rPr>
          <w:rFonts w:ascii="宋体" w:hAnsi="宋体"/>
        </w:rPr>
      </w:pPr>
      <w:r>
        <w:rPr>
          <w:rFonts w:hint="eastAsia" w:ascii="宋体" w:hAnsi="宋体"/>
        </w:rPr>
        <w:t>21、《钢结构用扭剪型高强度螺栓连接副》（GB/T 3632～3633-1995）</w:t>
      </w:r>
    </w:p>
    <w:p>
      <w:pPr>
        <w:spacing w:line="360" w:lineRule="auto"/>
        <w:ind w:firstLine="420" w:firstLineChars="200"/>
        <w:rPr>
          <w:rFonts w:ascii="宋体" w:hAnsi="宋体"/>
        </w:rPr>
      </w:pPr>
      <w:r>
        <w:rPr>
          <w:rFonts w:hint="eastAsia" w:ascii="宋体" w:hAnsi="宋体"/>
        </w:rPr>
        <w:t>22、《钢结构用高强度大六角头螺栓》（GB/T 1228～1229-2006）</w:t>
      </w:r>
    </w:p>
    <w:p>
      <w:pPr>
        <w:spacing w:line="360" w:lineRule="auto"/>
        <w:ind w:firstLine="420" w:firstLineChars="200"/>
        <w:rPr>
          <w:rFonts w:ascii="宋体" w:hAnsi="宋体"/>
        </w:rPr>
      </w:pPr>
      <w:r>
        <w:rPr>
          <w:rFonts w:hint="eastAsia" w:ascii="宋体" w:hAnsi="宋体"/>
        </w:rPr>
        <w:t>23、《工业建筑防腐蚀设计规范》（GB50046-95）</w:t>
      </w:r>
    </w:p>
    <w:p>
      <w:pPr>
        <w:spacing w:line="360" w:lineRule="auto"/>
        <w:ind w:firstLine="420" w:firstLineChars="200"/>
      </w:pPr>
      <w:r>
        <w:rPr>
          <w:rFonts w:hint="eastAsia" w:ascii="宋体" w:hAnsi="宋体"/>
        </w:rPr>
        <w:t>24</w:t>
      </w:r>
      <w:r>
        <w:rPr>
          <w:rFonts w:hint="eastAsia"/>
        </w:rPr>
        <w:t>、《海港钢筋混凝土防腐蚀技术规定》（JTJ275-2000）</w:t>
      </w:r>
    </w:p>
    <w:p>
      <w:pPr>
        <w:spacing w:line="360" w:lineRule="auto"/>
        <w:ind w:firstLine="420" w:firstLineChars="200"/>
        <w:jc w:val="left"/>
        <w:rPr>
          <w:rFonts w:ascii="宋体" w:hAnsi="宋体"/>
        </w:rPr>
      </w:pPr>
      <w:r>
        <w:rPr>
          <w:rFonts w:hint="eastAsia" w:ascii="宋体" w:hAnsi="宋体"/>
        </w:rPr>
        <w:t>25、《无粘结预应力混凝土结构技术规范》（JGJ/T 92-2004</w:t>
      </w:r>
      <w:r>
        <w:rPr>
          <w:rFonts w:ascii="宋体" w:hAnsi="宋体"/>
        </w:rPr>
        <w:t>）</w:t>
      </w:r>
    </w:p>
    <w:p>
      <w:pPr>
        <w:spacing w:line="360" w:lineRule="auto"/>
        <w:ind w:firstLine="420" w:firstLineChars="200"/>
        <w:jc w:val="left"/>
        <w:rPr>
          <w:rFonts w:ascii="宋体" w:hAnsi="宋体"/>
        </w:rPr>
      </w:pPr>
      <w:r>
        <w:rPr>
          <w:rFonts w:hint="eastAsia" w:ascii="宋体" w:hAnsi="宋体"/>
        </w:rPr>
        <w:t>26、《建筑工程预应力施工规程》（CECS 180：2005）</w:t>
      </w:r>
    </w:p>
    <w:p>
      <w:pPr>
        <w:spacing w:line="360" w:lineRule="auto"/>
        <w:ind w:firstLine="420" w:firstLineChars="200"/>
        <w:jc w:val="left"/>
        <w:rPr>
          <w:rFonts w:ascii="宋体" w:hAnsi="宋体"/>
        </w:rPr>
      </w:pPr>
      <w:r>
        <w:rPr>
          <w:rFonts w:hint="eastAsia" w:ascii="宋体" w:hAnsi="宋体"/>
        </w:rPr>
        <w:t>27、深圳市技术规范《非承重砌块墙体技术规范》（SJG13-2004）</w:t>
      </w:r>
      <w:r>
        <w:rPr>
          <w:rFonts w:hint="eastAsia" w:ascii="宋体" w:hAnsi="宋体"/>
        </w:rPr>
        <w:tab/>
      </w:r>
    </w:p>
    <w:p>
      <w:pPr>
        <w:spacing w:line="360" w:lineRule="auto"/>
        <w:ind w:firstLine="420" w:firstLineChars="200"/>
        <w:jc w:val="left"/>
        <w:rPr>
          <w:rFonts w:ascii="宋体" w:hAnsi="宋体"/>
        </w:rPr>
      </w:pPr>
      <w:r>
        <w:rPr>
          <w:rFonts w:hint="eastAsia" w:ascii="宋体" w:hAnsi="宋体"/>
        </w:rPr>
        <w:t>29、《金属与石材幕墙工程技术规范》（JGJ133-2001）</w:t>
      </w:r>
      <w:r>
        <w:rPr>
          <w:rFonts w:hint="eastAsia" w:ascii="宋体" w:hAnsi="宋体"/>
        </w:rPr>
        <w:tab/>
      </w:r>
    </w:p>
    <w:p>
      <w:pPr>
        <w:spacing w:line="360" w:lineRule="auto"/>
        <w:ind w:firstLine="420" w:firstLineChars="200"/>
        <w:jc w:val="left"/>
        <w:rPr>
          <w:rFonts w:ascii="宋体" w:hAnsi="宋体"/>
        </w:rPr>
      </w:pPr>
      <w:r>
        <w:rPr>
          <w:rFonts w:hint="eastAsia" w:ascii="宋体" w:hAnsi="宋体"/>
        </w:rPr>
        <w:t>30、《蒸压加气混凝土砌块建筑构造》（03J104）</w:t>
      </w:r>
    </w:p>
    <w:p>
      <w:pPr>
        <w:spacing w:line="360" w:lineRule="auto"/>
        <w:ind w:firstLine="420" w:firstLineChars="200"/>
        <w:jc w:val="left"/>
        <w:rPr>
          <w:rFonts w:ascii="宋体" w:hAnsi="宋体"/>
        </w:rPr>
      </w:pPr>
      <w:r>
        <w:rPr>
          <w:rFonts w:hint="eastAsia" w:ascii="宋体" w:hAnsi="宋体"/>
        </w:rPr>
        <w:t>31、《预拌混凝土》（GB14902-94）</w:t>
      </w:r>
    </w:p>
    <w:p>
      <w:pPr>
        <w:spacing w:line="360" w:lineRule="auto"/>
        <w:ind w:firstLine="420" w:firstLineChars="200"/>
        <w:jc w:val="left"/>
        <w:rPr>
          <w:rFonts w:ascii="宋体" w:hAnsi="宋体"/>
        </w:rPr>
      </w:pPr>
      <w:r>
        <w:rPr>
          <w:rFonts w:hint="eastAsia" w:ascii="宋体" w:hAnsi="宋体"/>
        </w:rPr>
        <w:t>32、《普通混凝土小型空心砌块》(GB8239-1997)</w:t>
      </w:r>
    </w:p>
    <w:p>
      <w:pPr>
        <w:spacing w:line="360" w:lineRule="auto"/>
        <w:ind w:firstLine="420" w:firstLineChars="200"/>
        <w:jc w:val="left"/>
        <w:rPr>
          <w:rFonts w:ascii="宋体" w:hAnsi="宋体"/>
        </w:rPr>
      </w:pPr>
      <w:r>
        <w:rPr>
          <w:rFonts w:hint="eastAsia" w:ascii="宋体" w:hAnsi="宋体"/>
        </w:rPr>
        <w:t>33、《钢筋混凝土用热轧带肋钢筋》（GB1499-1998）</w:t>
      </w:r>
    </w:p>
    <w:p>
      <w:pPr>
        <w:spacing w:line="360" w:lineRule="auto"/>
        <w:ind w:firstLine="420" w:firstLineChars="200"/>
        <w:jc w:val="left"/>
        <w:rPr>
          <w:rFonts w:ascii="宋体" w:hAnsi="宋体"/>
        </w:rPr>
      </w:pPr>
      <w:r>
        <w:rPr>
          <w:rFonts w:hint="eastAsia" w:ascii="宋体" w:hAnsi="宋体"/>
        </w:rPr>
        <w:t>34、《硅酸盐水泥、普通硅酸盐水泥》（GB175-1999）</w:t>
      </w:r>
    </w:p>
    <w:p>
      <w:pPr>
        <w:spacing w:line="360" w:lineRule="auto"/>
        <w:ind w:firstLine="420" w:firstLineChars="200"/>
        <w:jc w:val="left"/>
        <w:rPr>
          <w:rFonts w:ascii="宋体" w:hAnsi="宋体"/>
        </w:rPr>
      </w:pPr>
      <w:r>
        <w:rPr>
          <w:rFonts w:hint="eastAsia" w:ascii="宋体" w:hAnsi="宋体"/>
        </w:rPr>
        <w:t>35、《矿渣硅酸盐水泥、火山灰质硅酸盐水泥及粉煤灰硅酸盐水泥》（GB1344-1999）</w:t>
      </w:r>
    </w:p>
    <w:p>
      <w:pPr>
        <w:spacing w:line="360" w:lineRule="auto"/>
        <w:ind w:firstLine="420" w:firstLineChars="200"/>
        <w:jc w:val="left"/>
        <w:rPr>
          <w:rFonts w:ascii="宋体" w:hAnsi="宋体"/>
        </w:rPr>
      </w:pPr>
      <w:r>
        <w:rPr>
          <w:rFonts w:hint="eastAsia" w:ascii="宋体" w:hAnsi="宋体"/>
        </w:rPr>
        <w:t>36、《弹性体改性沥青防水材料》（GB18242-2000）</w:t>
      </w:r>
    </w:p>
    <w:p>
      <w:pPr>
        <w:spacing w:line="360" w:lineRule="auto"/>
        <w:ind w:firstLine="420" w:firstLineChars="200"/>
        <w:jc w:val="left"/>
        <w:rPr>
          <w:rFonts w:ascii="宋体" w:hAnsi="宋体"/>
        </w:rPr>
      </w:pPr>
      <w:r>
        <w:rPr>
          <w:rFonts w:hint="eastAsia" w:ascii="宋体" w:hAnsi="宋体"/>
        </w:rPr>
        <w:t>37、《塑性体改性沥青防水材料》（GB18243-2000）</w:t>
      </w:r>
    </w:p>
    <w:p>
      <w:pPr>
        <w:spacing w:line="360" w:lineRule="auto"/>
        <w:ind w:firstLine="420" w:firstLineChars="200"/>
        <w:jc w:val="left"/>
        <w:rPr>
          <w:rFonts w:ascii="宋体" w:hAnsi="宋体"/>
        </w:rPr>
      </w:pPr>
      <w:r>
        <w:rPr>
          <w:rFonts w:hint="eastAsia" w:ascii="宋体" w:hAnsi="宋体"/>
        </w:rPr>
        <w:t>38、《混凝土泵道施工技术规程》（JGJ/T10-95）</w:t>
      </w:r>
    </w:p>
    <w:p>
      <w:pPr>
        <w:spacing w:line="360" w:lineRule="auto"/>
        <w:ind w:firstLine="420" w:firstLineChars="200"/>
        <w:jc w:val="left"/>
        <w:rPr>
          <w:rFonts w:ascii="宋体" w:hAnsi="宋体"/>
        </w:rPr>
      </w:pPr>
      <w:r>
        <w:rPr>
          <w:rFonts w:hint="eastAsia" w:ascii="宋体" w:hAnsi="宋体"/>
        </w:rPr>
        <w:t>39、《混凝土小型砌块建筑技术规程》（JGJ/T14-95）</w:t>
      </w:r>
    </w:p>
    <w:p>
      <w:pPr>
        <w:spacing w:line="360" w:lineRule="auto"/>
        <w:ind w:firstLine="420" w:firstLineChars="200"/>
        <w:jc w:val="left"/>
        <w:rPr>
          <w:rFonts w:ascii="宋体" w:hAnsi="宋体"/>
        </w:rPr>
      </w:pPr>
      <w:r>
        <w:rPr>
          <w:rFonts w:hint="eastAsia" w:ascii="宋体" w:hAnsi="宋体"/>
        </w:rPr>
        <w:t>40、《普通混凝土配合比设计规程》（JGJ55-2000）</w:t>
      </w:r>
    </w:p>
    <w:p>
      <w:pPr>
        <w:spacing w:line="360" w:lineRule="auto"/>
        <w:ind w:firstLine="420" w:firstLineChars="200"/>
        <w:jc w:val="left"/>
        <w:rPr>
          <w:rFonts w:ascii="宋体" w:hAnsi="宋体"/>
        </w:rPr>
      </w:pPr>
      <w:r>
        <w:rPr>
          <w:rFonts w:hint="eastAsia" w:ascii="宋体" w:hAnsi="宋体"/>
        </w:rPr>
        <w:t>41、《砌筑砂浆配合比设计规程》（JGJ98-2000）</w:t>
      </w:r>
    </w:p>
    <w:p>
      <w:pPr>
        <w:spacing w:line="360" w:lineRule="auto"/>
        <w:ind w:firstLine="420" w:firstLineChars="200"/>
        <w:jc w:val="left"/>
        <w:rPr>
          <w:rFonts w:ascii="宋体" w:hAnsi="宋体"/>
        </w:rPr>
      </w:pPr>
      <w:r>
        <w:rPr>
          <w:rFonts w:hint="eastAsia" w:ascii="宋体" w:hAnsi="宋体"/>
        </w:rPr>
        <w:t>42、《轻骨料混凝土技术规程》（JGJ51-2002）</w:t>
      </w:r>
    </w:p>
    <w:p>
      <w:pPr>
        <w:spacing w:line="360" w:lineRule="auto"/>
        <w:ind w:firstLine="420" w:firstLineChars="200"/>
        <w:jc w:val="left"/>
        <w:rPr>
          <w:rFonts w:ascii="宋体" w:hAnsi="宋体"/>
        </w:rPr>
      </w:pPr>
      <w:r>
        <w:rPr>
          <w:rFonts w:hint="eastAsia" w:ascii="宋体" w:hAnsi="宋体"/>
        </w:rPr>
        <w:t>43、《优质碳素结构钢》（GB/T699-1999）</w:t>
      </w:r>
    </w:p>
    <w:p>
      <w:pPr>
        <w:spacing w:line="360" w:lineRule="auto"/>
        <w:ind w:firstLine="420" w:firstLineChars="200"/>
        <w:jc w:val="left"/>
        <w:rPr>
          <w:rFonts w:ascii="宋体" w:hAnsi="宋体"/>
        </w:rPr>
      </w:pPr>
      <w:r>
        <w:rPr>
          <w:rFonts w:hint="eastAsia" w:ascii="宋体" w:hAnsi="宋体"/>
        </w:rPr>
        <w:t>44、《合金结构钢》（GB/T3077-1999）</w:t>
      </w:r>
    </w:p>
    <w:p>
      <w:pPr>
        <w:spacing w:line="360" w:lineRule="auto"/>
        <w:ind w:firstLine="420" w:firstLineChars="200"/>
        <w:jc w:val="left"/>
        <w:rPr>
          <w:rFonts w:ascii="宋体" w:hAnsi="宋体"/>
        </w:rPr>
      </w:pPr>
      <w:r>
        <w:rPr>
          <w:rFonts w:hint="eastAsia" w:ascii="宋体" w:hAnsi="宋体"/>
        </w:rPr>
        <w:t>45、《建筑用砂》（GB/T14684-2001）</w:t>
      </w:r>
    </w:p>
    <w:p>
      <w:pPr>
        <w:spacing w:line="360" w:lineRule="auto"/>
        <w:ind w:firstLine="420" w:firstLineChars="200"/>
        <w:jc w:val="left"/>
        <w:rPr>
          <w:rFonts w:ascii="宋体" w:hAnsi="宋体"/>
        </w:rPr>
      </w:pPr>
      <w:r>
        <w:rPr>
          <w:rFonts w:hint="eastAsia" w:ascii="宋体" w:hAnsi="宋体"/>
        </w:rPr>
        <w:t>46、《屋面工程技术规范》（GB50345-2004）</w:t>
      </w:r>
    </w:p>
    <w:p>
      <w:pPr>
        <w:spacing w:line="360" w:lineRule="auto"/>
        <w:ind w:firstLine="420" w:firstLineChars="200"/>
        <w:jc w:val="left"/>
        <w:rPr>
          <w:rFonts w:ascii="宋体" w:hAnsi="宋体"/>
        </w:rPr>
      </w:pPr>
      <w:r>
        <w:rPr>
          <w:rFonts w:hint="eastAsia" w:ascii="宋体" w:hAnsi="宋体"/>
        </w:rPr>
        <w:t>47、广东省标准《建筑防水工程技术规程》（DBJ15-19-2006）</w:t>
      </w:r>
    </w:p>
    <w:p>
      <w:pPr>
        <w:spacing w:line="360" w:lineRule="auto"/>
        <w:ind w:firstLine="420" w:firstLineChars="200"/>
        <w:jc w:val="left"/>
        <w:rPr>
          <w:rFonts w:ascii="宋体" w:hAnsi="宋体"/>
        </w:rPr>
      </w:pPr>
      <w:r>
        <w:rPr>
          <w:rFonts w:hint="eastAsia" w:ascii="宋体" w:hAnsi="宋体"/>
        </w:rPr>
        <w:t>48、《电梯工程施工质量验收规范》（GB50310-2002）</w:t>
      </w:r>
    </w:p>
    <w:p>
      <w:pPr>
        <w:spacing w:line="360" w:lineRule="auto"/>
        <w:ind w:firstLine="420" w:firstLineChars="200"/>
        <w:jc w:val="left"/>
        <w:rPr>
          <w:rFonts w:ascii="宋体" w:hAnsi="宋体"/>
        </w:rPr>
      </w:pPr>
      <w:r>
        <w:rPr>
          <w:rFonts w:hint="eastAsia" w:ascii="宋体" w:hAnsi="宋体"/>
        </w:rPr>
        <w:t>49、《建筑用卵石、碎石》（GB/T14685-2001）</w:t>
      </w:r>
    </w:p>
    <w:p>
      <w:pPr>
        <w:spacing w:line="360" w:lineRule="auto"/>
        <w:ind w:firstLine="420" w:firstLineChars="200"/>
        <w:jc w:val="left"/>
        <w:rPr>
          <w:rFonts w:ascii="宋体" w:hAnsi="宋体"/>
        </w:rPr>
      </w:pPr>
      <w:r>
        <w:rPr>
          <w:rFonts w:hint="eastAsia" w:ascii="宋体" w:hAnsi="宋体"/>
        </w:rPr>
        <w:t>50、《工程测量规范》（GBJ50026-2007）</w:t>
      </w:r>
    </w:p>
    <w:p>
      <w:pPr>
        <w:spacing w:line="360" w:lineRule="auto"/>
        <w:ind w:firstLine="420" w:firstLineChars="200"/>
        <w:jc w:val="left"/>
        <w:rPr>
          <w:rFonts w:ascii="宋体" w:hAnsi="宋体"/>
        </w:rPr>
      </w:pPr>
      <w:r>
        <w:rPr>
          <w:rFonts w:hint="eastAsia" w:ascii="宋体" w:hAnsi="宋体"/>
        </w:rPr>
        <w:t>51、《</w:t>
      </w:r>
      <w:r>
        <w:fldChar w:fldCharType="begin"/>
      </w:r>
      <w:r>
        <w:instrText xml:space="preserve"> HYPERLINK "http://jianzhu.book110.cn/book226320/" \t "_blank" </w:instrText>
      </w:r>
      <w:r>
        <w:fldChar w:fldCharType="separate"/>
      </w:r>
      <w:r>
        <w:rPr>
          <w:rFonts w:ascii="宋体" w:hAnsi="宋体"/>
        </w:rPr>
        <w:t>建筑变形测量规范</w:t>
      </w:r>
      <w:r>
        <w:rPr>
          <w:rFonts w:hint="eastAsia" w:ascii="宋体" w:hAnsi="宋体"/>
        </w:rPr>
        <w:t>》</w:t>
      </w:r>
      <w:r>
        <w:rPr>
          <w:rFonts w:ascii="宋体" w:hAnsi="宋体"/>
        </w:rPr>
        <w:t>(JGJ8-2007)</w:t>
      </w:r>
      <w:r>
        <w:rPr>
          <w:rFonts w:ascii="宋体" w:hAnsi="宋体"/>
        </w:rPr>
        <w:fldChar w:fldCharType="end"/>
      </w:r>
    </w:p>
    <w:p>
      <w:pPr>
        <w:spacing w:line="360" w:lineRule="auto"/>
        <w:ind w:firstLine="420" w:firstLineChars="200"/>
        <w:jc w:val="left"/>
        <w:rPr>
          <w:rFonts w:ascii="宋体" w:hAnsi="宋体"/>
        </w:rPr>
      </w:pPr>
      <w:r>
        <w:rPr>
          <w:rFonts w:hint="eastAsia" w:ascii="宋体" w:hAnsi="宋体"/>
        </w:rPr>
        <w:t>52、《建筑外窗气密性能分级及其检测办法》(GB/T7107-2002)</w:t>
      </w:r>
    </w:p>
    <w:p>
      <w:pPr>
        <w:spacing w:line="360" w:lineRule="auto"/>
        <w:ind w:firstLine="420" w:firstLineChars="200"/>
        <w:jc w:val="left"/>
        <w:rPr>
          <w:rFonts w:ascii="宋体" w:hAnsi="宋体"/>
        </w:rPr>
      </w:pPr>
      <w:r>
        <w:rPr>
          <w:rFonts w:hint="eastAsia" w:ascii="宋体" w:hAnsi="宋体"/>
        </w:rPr>
        <w:t>53、《建筑施工安全检查标准》（JGJ59-99）</w:t>
      </w:r>
    </w:p>
    <w:p>
      <w:pPr>
        <w:spacing w:line="360" w:lineRule="auto"/>
        <w:ind w:firstLine="420" w:firstLineChars="200"/>
        <w:jc w:val="left"/>
        <w:rPr>
          <w:rFonts w:ascii="宋体" w:hAnsi="宋体"/>
        </w:rPr>
      </w:pPr>
      <w:r>
        <w:rPr>
          <w:rFonts w:hint="eastAsia" w:ascii="宋体" w:hAnsi="宋体"/>
        </w:rPr>
        <w:t>54、《施工现场临时用电安全技术规范》（JGJ46-2001）</w:t>
      </w:r>
    </w:p>
    <w:p>
      <w:pPr>
        <w:spacing w:line="360" w:lineRule="auto"/>
        <w:ind w:firstLine="420" w:firstLineChars="200"/>
        <w:jc w:val="left"/>
        <w:rPr>
          <w:rFonts w:ascii="宋体" w:hAnsi="宋体"/>
        </w:rPr>
      </w:pPr>
      <w:r>
        <w:rPr>
          <w:rFonts w:hint="eastAsia" w:ascii="宋体" w:hAnsi="宋体"/>
        </w:rPr>
        <w:t>55、《建筑工程施工现场供用电安全规范》（GB50194-93）</w:t>
      </w:r>
    </w:p>
    <w:p>
      <w:pPr>
        <w:spacing w:line="360" w:lineRule="auto"/>
        <w:ind w:firstLine="420" w:firstLineChars="200"/>
        <w:jc w:val="left"/>
        <w:rPr>
          <w:rFonts w:ascii="宋体" w:hAnsi="宋体"/>
        </w:rPr>
      </w:pPr>
      <w:r>
        <w:rPr>
          <w:rFonts w:hint="eastAsia" w:ascii="宋体" w:hAnsi="宋体"/>
        </w:rPr>
        <w:t>56、《建筑机械使用安全技术规程》（JGJ33-2001）</w:t>
      </w:r>
    </w:p>
    <w:p>
      <w:pPr>
        <w:spacing w:line="360" w:lineRule="auto"/>
        <w:ind w:firstLine="420" w:firstLineChars="200"/>
        <w:jc w:val="left"/>
        <w:rPr>
          <w:rFonts w:ascii="宋体" w:hAnsi="宋体"/>
        </w:rPr>
      </w:pPr>
      <w:r>
        <w:rPr>
          <w:rFonts w:hint="eastAsia" w:ascii="宋体" w:hAnsi="宋体"/>
        </w:rPr>
        <w:t>57、《</w:t>
      </w:r>
      <w:r>
        <w:rPr>
          <w:rFonts w:ascii="宋体" w:hAnsi="宋体"/>
        </w:rPr>
        <w:t>建筑施工门式钢管脚手架安全技术规程</w:t>
      </w:r>
      <w:r>
        <w:rPr>
          <w:rFonts w:hint="eastAsia" w:ascii="宋体" w:hAnsi="宋体"/>
        </w:rPr>
        <w:t>》（</w:t>
      </w:r>
      <w:r>
        <w:rPr>
          <w:rFonts w:ascii="宋体" w:hAnsi="宋体"/>
        </w:rPr>
        <w:t>JGJ128-2000</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58、《</w:t>
      </w:r>
      <w:r>
        <w:rPr>
          <w:rFonts w:ascii="宋体" w:hAnsi="宋体"/>
        </w:rPr>
        <w:t>建筑施工扣件式钢管脚手架安全技术规程</w:t>
      </w:r>
      <w:r>
        <w:rPr>
          <w:rFonts w:hint="eastAsia" w:ascii="宋体" w:hAnsi="宋体"/>
        </w:rPr>
        <w:t>》</w:t>
      </w:r>
      <w:r>
        <w:rPr>
          <w:rFonts w:ascii="宋体" w:hAnsi="宋体"/>
        </w:rPr>
        <w:t xml:space="preserve">(JGJ 130-2001) </w:t>
      </w:r>
    </w:p>
    <w:p>
      <w:pPr>
        <w:spacing w:line="360" w:lineRule="auto"/>
        <w:ind w:firstLine="420" w:firstLineChars="200"/>
        <w:jc w:val="left"/>
        <w:rPr>
          <w:rFonts w:ascii="宋体" w:hAnsi="宋体"/>
        </w:rPr>
      </w:pPr>
      <w:r>
        <w:rPr>
          <w:rFonts w:hint="eastAsia" w:ascii="宋体" w:hAnsi="宋体"/>
        </w:rPr>
        <w:t>59、《建筑材料产品及建材用工业废渣放射性物质控制要求》GB6763-2000</w:t>
      </w:r>
    </w:p>
    <w:p>
      <w:pPr>
        <w:spacing w:line="360" w:lineRule="auto"/>
        <w:ind w:firstLine="420" w:firstLineChars="200"/>
        <w:jc w:val="left"/>
        <w:rPr>
          <w:rFonts w:ascii="宋体" w:hAnsi="宋体"/>
        </w:rPr>
      </w:pPr>
      <w:r>
        <w:rPr>
          <w:rFonts w:hint="eastAsia" w:ascii="宋体" w:hAnsi="宋体"/>
        </w:rPr>
        <w:t>60、《掺工业废渣建筑材料产品放射性物质控制标准》（GB9196-88）</w:t>
      </w:r>
    </w:p>
    <w:p>
      <w:pPr>
        <w:spacing w:line="360" w:lineRule="auto"/>
        <w:ind w:firstLine="420" w:firstLineChars="200"/>
        <w:jc w:val="left"/>
        <w:rPr>
          <w:rFonts w:ascii="宋体" w:hAnsi="宋体"/>
        </w:rPr>
      </w:pPr>
      <w:r>
        <w:rPr>
          <w:rFonts w:hint="eastAsia" w:ascii="宋体" w:hAnsi="宋体"/>
        </w:rPr>
        <w:t>61、《建筑内部装修设计防火规范》（GB50222-95）</w:t>
      </w:r>
    </w:p>
    <w:p>
      <w:pPr>
        <w:spacing w:line="360" w:lineRule="auto"/>
        <w:ind w:firstLine="420" w:firstLineChars="200"/>
        <w:jc w:val="left"/>
        <w:rPr>
          <w:rFonts w:ascii="宋体" w:hAnsi="宋体"/>
        </w:rPr>
      </w:pPr>
      <w:r>
        <w:rPr>
          <w:rFonts w:hint="eastAsia" w:ascii="宋体" w:hAnsi="宋体"/>
        </w:rPr>
        <w:t>62、《建筑内部装修防火施工及验收规范》（GB50354-2005）</w:t>
      </w:r>
    </w:p>
    <w:p>
      <w:pPr>
        <w:spacing w:line="360" w:lineRule="auto"/>
        <w:ind w:firstLine="420" w:firstLineChars="200"/>
        <w:jc w:val="left"/>
        <w:rPr>
          <w:rFonts w:ascii="宋体" w:hAnsi="宋体"/>
        </w:rPr>
      </w:pPr>
      <w:r>
        <w:rPr>
          <w:rFonts w:hint="eastAsia" w:ascii="宋体" w:hAnsi="宋体"/>
        </w:rPr>
        <w:t>63、</w:t>
      </w:r>
      <w:r>
        <w:rPr>
          <w:rFonts w:ascii="宋体" w:hAnsi="宋体"/>
        </w:rPr>
        <w:t>《室内装饰装修材料人造板及其制品中甲醛释放限量》（GB 18</w:t>
      </w:r>
      <w:r>
        <w:rPr>
          <w:rFonts w:hint="eastAsia" w:ascii="宋体" w:hAnsi="宋体"/>
        </w:rPr>
        <w:t>5</w:t>
      </w:r>
      <w:r>
        <w:rPr>
          <w:rFonts w:ascii="宋体" w:hAnsi="宋体"/>
        </w:rPr>
        <w:t>80-2001）</w:t>
      </w:r>
    </w:p>
    <w:p>
      <w:pPr>
        <w:spacing w:line="360" w:lineRule="auto"/>
        <w:ind w:firstLine="420" w:firstLineChars="200"/>
        <w:jc w:val="left"/>
        <w:rPr>
          <w:rFonts w:ascii="宋体" w:hAnsi="宋体"/>
        </w:rPr>
      </w:pPr>
      <w:r>
        <w:rPr>
          <w:rFonts w:hint="eastAsia" w:ascii="宋体" w:hAnsi="宋体"/>
        </w:rPr>
        <w:t>64、《室内装饰装修材料溶剂型木器涂料中有害物质限量》（GB18581-2001）</w:t>
      </w:r>
    </w:p>
    <w:p>
      <w:pPr>
        <w:spacing w:line="360" w:lineRule="auto"/>
        <w:ind w:firstLine="420" w:firstLineChars="200"/>
        <w:jc w:val="left"/>
        <w:rPr>
          <w:rFonts w:ascii="宋体" w:hAnsi="宋体"/>
        </w:rPr>
      </w:pPr>
      <w:r>
        <w:rPr>
          <w:rFonts w:hint="eastAsia" w:ascii="宋体" w:hAnsi="宋体"/>
        </w:rPr>
        <w:t>65、《室内装饰装修墙涂料中有害物质限量》（GB18582-2001）</w:t>
      </w:r>
    </w:p>
    <w:p>
      <w:pPr>
        <w:spacing w:line="360" w:lineRule="auto"/>
        <w:ind w:firstLine="420" w:firstLineChars="200"/>
        <w:jc w:val="left"/>
        <w:rPr>
          <w:rFonts w:ascii="宋体" w:hAnsi="宋体"/>
        </w:rPr>
      </w:pPr>
      <w:r>
        <w:rPr>
          <w:rFonts w:hint="eastAsia" w:ascii="宋体" w:hAnsi="宋体"/>
        </w:rPr>
        <w:t>66、《室内装饰装修材料胶粘剂中有害物质限量》（GB18583-2001）</w:t>
      </w:r>
    </w:p>
    <w:p>
      <w:pPr>
        <w:spacing w:line="360" w:lineRule="auto"/>
        <w:ind w:firstLine="420" w:firstLineChars="200"/>
        <w:jc w:val="left"/>
        <w:rPr>
          <w:rFonts w:ascii="宋体" w:hAnsi="宋体"/>
        </w:rPr>
      </w:pPr>
      <w:r>
        <w:rPr>
          <w:rFonts w:hint="eastAsia" w:ascii="宋体" w:hAnsi="宋体"/>
        </w:rPr>
        <w:t>67、《室内装饰装修材料木家具中有害物质限量》（GB18584-2001）</w:t>
      </w:r>
    </w:p>
    <w:p>
      <w:pPr>
        <w:spacing w:line="360" w:lineRule="auto"/>
        <w:ind w:firstLine="420" w:firstLineChars="200"/>
        <w:jc w:val="left"/>
        <w:rPr>
          <w:rFonts w:ascii="宋体" w:hAnsi="宋体"/>
        </w:rPr>
      </w:pPr>
      <w:r>
        <w:rPr>
          <w:rFonts w:hint="eastAsia" w:ascii="宋体" w:hAnsi="宋体"/>
        </w:rPr>
        <w:t>68、《室内装饰装修材料壁纸中有害物质限量》（GB18585-2001）</w:t>
      </w:r>
    </w:p>
    <w:p>
      <w:pPr>
        <w:spacing w:line="360" w:lineRule="auto"/>
        <w:ind w:firstLine="420" w:firstLineChars="200"/>
        <w:jc w:val="left"/>
        <w:rPr>
          <w:rFonts w:ascii="宋体" w:hAnsi="宋体"/>
        </w:rPr>
      </w:pPr>
      <w:r>
        <w:rPr>
          <w:rFonts w:hint="eastAsia" w:ascii="宋体" w:hAnsi="宋体"/>
        </w:rPr>
        <w:t>69、《室内装饰装修材料聚氯乙稀卷材地板中有害物质限量》（GB18586-2001）</w:t>
      </w:r>
    </w:p>
    <w:p>
      <w:pPr>
        <w:spacing w:line="360" w:lineRule="auto"/>
        <w:ind w:firstLine="420" w:firstLineChars="200"/>
        <w:jc w:val="left"/>
        <w:rPr>
          <w:rFonts w:ascii="宋体" w:hAnsi="宋体"/>
        </w:rPr>
      </w:pPr>
      <w:r>
        <w:rPr>
          <w:rFonts w:hint="eastAsia" w:ascii="宋体" w:hAnsi="宋体"/>
        </w:rPr>
        <w:t>70、《室内装饰装修材料地毯、地毯衬垫及地毯胶粘剂有害物质释放限量》（GB18587-2001）</w:t>
      </w:r>
    </w:p>
    <w:p>
      <w:pPr>
        <w:spacing w:line="360" w:lineRule="auto"/>
        <w:ind w:firstLine="420" w:firstLineChars="200"/>
        <w:jc w:val="left"/>
        <w:rPr>
          <w:rFonts w:ascii="宋体" w:hAnsi="宋体"/>
        </w:rPr>
      </w:pPr>
      <w:r>
        <w:rPr>
          <w:rFonts w:hint="eastAsia" w:ascii="宋体" w:hAnsi="宋体"/>
        </w:rPr>
        <w:t>71、</w:t>
      </w:r>
      <w:r>
        <w:rPr>
          <w:rFonts w:ascii="宋体" w:hAnsi="宋体"/>
        </w:rPr>
        <w:t>《建筑材</w:t>
      </w:r>
      <w:r>
        <w:rPr>
          <w:rFonts w:hint="eastAsia" w:ascii="宋体" w:hAnsi="宋体"/>
        </w:rPr>
        <w:t>料</w:t>
      </w:r>
      <w:r>
        <w:rPr>
          <w:rFonts w:ascii="宋体" w:hAnsi="宋体"/>
        </w:rPr>
        <w:t>放射性核素限量》</w:t>
      </w:r>
      <w:r>
        <w:rPr>
          <w:rFonts w:hint="eastAsia" w:ascii="宋体" w:hAnsi="宋体"/>
        </w:rPr>
        <w:t>（</w:t>
      </w:r>
      <w:r>
        <w:rPr>
          <w:rFonts w:ascii="宋体" w:hAnsi="宋体"/>
        </w:rPr>
        <w:t>GB 6566-2001</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72、《天然石材产品放射性分类控制标准》（JC518－93）</w:t>
      </w:r>
    </w:p>
    <w:p>
      <w:pPr>
        <w:spacing w:line="360" w:lineRule="auto"/>
        <w:ind w:firstLine="420" w:firstLineChars="200"/>
        <w:jc w:val="left"/>
        <w:rPr>
          <w:rFonts w:ascii="宋体" w:hAnsi="宋体"/>
        </w:rPr>
      </w:pPr>
      <w:r>
        <w:rPr>
          <w:rFonts w:hint="eastAsia" w:ascii="宋体" w:hAnsi="宋体"/>
        </w:rPr>
        <w:t>73、《釉面内墙砖》（</w:t>
      </w:r>
      <w:r>
        <w:rPr>
          <w:rFonts w:ascii="宋体" w:hAnsi="宋体"/>
        </w:rPr>
        <w:t>GB/T4100—92</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74、《彩色釉面陶瓷墙地砖》（</w:t>
      </w:r>
      <w:r>
        <w:rPr>
          <w:rFonts w:ascii="宋体" w:hAnsi="宋体"/>
        </w:rPr>
        <w:t>GB11947</w:t>
      </w:r>
      <w:r>
        <w:rPr>
          <w:rFonts w:hint="eastAsia" w:ascii="宋体" w:hAnsi="宋体"/>
        </w:rPr>
        <w:t>－</w:t>
      </w:r>
      <w:r>
        <w:rPr>
          <w:rFonts w:ascii="宋体" w:hAnsi="宋体"/>
        </w:rPr>
        <w:t>89</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75、</w:t>
      </w:r>
      <w:r>
        <w:rPr>
          <w:rFonts w:ascii="宋体" w:hAnsi="宋体"/>
        </w:rPr>
        <w:t>《</w:t>
      </w:r>
      <w:r>
        <w:rPr>
          <w:rFonts w:hint="eastAsia" w:ascii="宋体" w:hAnsi="宋体"/>
        </w:rPr>
        <w:t>建筑石膏</w:t>
      </w:r>
      <w:r>
        <w:rPr>
          <w:rFonts w:ascii="宋体" w:hAnsi="宋体"/>
        </w:rPr>
        <w:t>》</w:t>
      </w:r>
      <w:r>
        <w:rPr>
          <w:rFonts w:hint="eastAsia" w:ascii="宋体" w:hAnsi="宋体"/>
        </w:rPr>
        <w:t>（</w:t>
      </w:r>
      <w:r>
        <w:rPr>
          <w:rFonts w:ascii="宋体" w:hAnsi="宋体"/>
        </w:rPr>
        <w:t>GB9776</w:t>
      </w:r>
      <w:r>
        <w:rPr>
          <w:rFonts w:hint="eastAsia" w:ascii="宋体" w:hAnsi="宋体"/>
        </w:rPr>
        <w:t>－</w:t>
      </w:r>
      <w:r>
        <w:rPr>
          <w:rFonts w:ascii="宋体" w:hAnsi="宋体"/>
        </w:rPr>
        <w:t>88</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76、</w:t>
      </w:r>
      <w:r>
        <w:rPr>
          <w:rFonts w:ascii="宋体" w:hAnsi="宋体"/>
        </w:rPr>
        <w:t>《</w:t>
      </w:r>
      <w:r>
        <w:rPr>
          <w:rFonts w:hint="eastAsia" w:ascii="宋体" w:hAnsi="宋体"/>
        </w:rPr>
        <w:t>建筑生石灰</w:t>
      </w:r>
      <w:r>
        <w:rPr>
          <w:rFonts w:ascii="宋体" w:hAnsi="宋体"/>
        </w:rPr>
        <w:t>》</w:t>
      </w:r>
      <w:r>
        <w:rPr>
          <w:rFonts w:hint="eastAsia" w:ascii="宋体" w:hAnsi="宋体"/>
        </w:rPr>
        <w:t>（</w:t>
      </w:r>
      <w:r>
        <w:rPr>
          <w:rFonts w:ascii="宋体" w:hAnsi="宋体"/>
        </w:rPr>
        <w:t>JC/T479</w:t>
      </w:r>
      <w:r>
        <w:rPr>
          <w:rFonts w:hint="eastAsia" w:ascii="宋体" w:hAnsi="宋体"/>
        </w:rPr>
        <w:t>－</w:t>
      </w:r>
      <w:r>
        <w:rPr>
          <w:rFonts w:ascii="宋体" w:hAnsi="宋体"/>
        </w:rPr>
        <w:t>92</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77、</w:t>
      </w:r>
      <w:r>
        <w:rPr>
          <w:rFonts w:ascii="宋体" w:hAnsi="宋体"/>
        </w:rPr>
        <w:t>《</w:t>
      </w:r>
      <w:r>
        <w:rPr>
          <w:rFonts w:hint="eastAsia" w:ascii="宋体" w:hAnsi="宋体"/>
        </w:rPr>
        <w:t>天然花岗石建筑板材</w:t>
      </w:r>
      <w:r>
        <w:rPr>
          <w:rFonts w:ascii="宋体" w:hAnsi="宋体"/>
        </w:rPr>
        <w:t>》</w:t>
      </w:r>
      <w:r>
        <w:rPr>
          <w:rFonts w:hint="eastAsia" w:ascii="宋体" w:hAnsi="宋体"/>
        </w:rPr>
        <w:t>（GB/T18601－2001）</w:t>
      </w:r>
    </w:p>
    <w:p>
      <w:pPr>
        <w:spacing w:line="360" w:lineRule="auto"/>
        <w:ind w:firstLine="420" w:firstLineChars="200"/>
        <w:jc w:val="left"/>
        <w:rPr>
          <w:rFonts w:ascii="宋体" w:hAnsi="宋体"/>
        </w:rPr>
      </w:pPr>
      <w:r>
        <w:rPr>
          <w:rFonts w:hint="eastAsia" w:ascii="宋体" w:hAnsi="宋体"/>
        </w:rPr>
        <w:t>78、</w:t>
      </w:r>
      <w:r>
        <w:rPr>
          <w:rFonts w:ascii="宋体" w:hAnsi="宋体"/>
        </w:rPr>
        <w:t>《</w:t>
      </w:r>
      <w:r>
        <w:rPr>
          <w:rFonts w:hint="eastAsia" w:ascii="宋体" w:hAnsi="宋体"/>
        </w:rPr>
        <w:t>水溶性内墙涂料</w:t>
      </w:r>
      <w:r>
        <w:rPr>
          <w:rFonts w:ascii="宋体" w:hAnsi="宋体"/>
        </w:rPr>
        <w:t>》</w:t>
      </w:r>
      <w:r>
        <w:rPr>
          <w:rFonts w:hint="eastAsia" w:ascii="宋体" w:hAnsi="宋体"/>
        </w:rPr>
        <w:t>（</w:t>
      </w:r>
      <w:r>
        <w:rPr>
          <w:rFonts w:ascii="宋体" w:hAnsi="宋体"/>
        </w:rPr>
        <w:t>JC/T 423</w:t>
      </w:r>
      <w:r>
        <w:rPr>
          <w:rFonts w:hint="eastAsia" w:ascii="宋体" w:hAnsi="宋体"/>
        </w:rPr>
        <w:t>－</w:t>
      </w:r>
      <w:r>
        <w:rPr>
          <w:rFonts w:ascii="宋体" w:hAnsi="宋体"/>
        </w:rPr>
        <w:t>91</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79、</w:t>
      </w:r>
      <w:r>
        <w:rPr>
          <w:rFonts w:ascii="宋体" w:hAnsi="宋体"/>
        </w:rPr>
        <w:t>《</w:t>
      </w:r>
      <w:r>
        <w:rPr>
          <w:rFonts w:hint="eastAsia" w:ascii="宋体" w:hAnsi="宋体"/>
        </w:rPr>
        <w:t>建筑用轻钢龙骨</w:t>
      </w:r>
      <w:r>
        <w:rPr>
          <w:rFonts w:ascii="宋体" w:hAnsi="宋体"/>
        </w:rPr>
        <w:t>》</w:t>
      </w:r>
      <w:r>
        <w:rPr>
          <w:rFonts w:hint="eastAsia" w:ascii="宋体" w:hAnsi="宋体"/>
        </w:rPr>
        <w:t>（</w:t>
      </w:r>
      <w:r>
        <w:rPr>
          <w:rFonts w:ascii="宋体" w:hAnsi="宋体"/>
        </w:rPr>
        <w:t>GB11981</w:t>
      </w:r>
      <w:r>
        <w:rPr>
          <w:rFonts w:hint="eastAsia" w:ascii="宋体" w:hAnsi="宋体"/>
        </w:rPr>
        <w:t>－</w:t>
      </w:r>
      <w:r>
        <w:rPr>
          <w:rFonts w:ascii="宋体" w:hAnsi="宋体"/>
        </w:rPr>
        <w:t>89</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80、《铝合金建筑型材》（GB5237－2000）</w:t>
      </w:r>
    </w:p>
    <w:p>
      <w:pPr>
        <w:spacing w:line="360" w:lineRule="auto"/>
        <w:ind w:firstLine="420" w:firstLineChars="200"/>
        <w:jc w:val="left"/>
        <w:rPr>
          <w:rFonts w:ascii="宋体" w:hAnsi="宋体"/>
        </w:rPr>
      </w:pPr>
      <w:r>
        <w:rPr>
          <w:rFonts w:hint="eastAsia" w:ascii="宋体" w:hAnsi="宋体"/>
        </w:rPr>
        <w:t>81、《轻骨料混凝土技术规程》（JGJ51—2002）</w:t>
      </w:r>
    </w:p>
    <w:p>
      <w:pPr>
        <w:spacing w:line="360" w:lineRule="auto"/>
        <w:ind w:firstLine="420" w:firstLineChars="200"/>
        <w:jc w:val="left"/>
        <w:rPr>
          <w:rFonts w:ascii="宋体" w:hAnsi="宋体"/>
        </w:rPr>
      </w:pPr>
      <w:r>
        <w:rPr>
          <w:rFonts w:hint="eastAsia" w:ascii="宋体" w:hAnsi="宋体"/>
        </w:rPr>
        <w:t>82、《冷轧带肋钢筋》(GBl3788—2000)</w:t>
      </w:r>
    </w:p>
    <w:p>
      <w:pPr>
        <w:spacing w:line="360" w:lineRule="auto"/>
        <w:ind w:firstLine="420" w:firstLineChars="200"/>
        <w:jc w:val="left"/>
        <w:rPr>
          <w:rFonts w:ascii="宋体" w:hAnsi="宋体"/>
        </w:rPr>
      </w:pPr>
      <w:r>
        <w:rPr>
          <w:rFonts w:hint="eastAsia" w:ascii="宋体" w:hAnsi="宋体"/>
        </w:rPr>
        <w:t>83、《钢筋焊接及验收规程》JGJl8—96</w:t>
      </w:r>
    </w:p>
    <w:p>
      <w:pPr>
        <w:spacing w:line="360" w:lineRule="auto"/>
        <w:ind w:firstLine="420" w:firstLineChars="200"/>
        <w:jc w:val="left"/>
        <w:rPr>
          <w:rFonts w:ascii="宋体" w:hAnsi="宋体"/>
        </w:rPr>
      </w:pPr>
      <w:r>
        <w:rPr>
          <w:rFonts w:hint="eastAsia" w:ascii="宋体" w:hAnsi="宋体"/>
        </w:rPr>
        <w:t>84、《钢筋机械连接通用技术规程》JGJl07—96</w:t>
      </w:r>
    </w:p>
    <w:p>
      <w:pPr>
        <w:spacing w:line="360" w:lineRule="auto"/>
        <w:ind w:firstLine="420" w:firstLineChars="200"/>
        <w:jc w:val="left"/>
        <w:rPr>
          <w:rFonts w:ascii="宋体" w:hAnsi="宋体"/>
        </w:rPr>
      </w:pPr>
      <w:r>
        <w:rPr>
          <w:rFonts w:hint="eastAsia" w:ascii="宋体" w:hAnsi="宋体"/>
        </w:rPr>
        <w:t>85、《混凝土用膨胀型、扩孔型建筑锚栓》JG 160-2004</w:t>
      </w:r>
    </w:p>
    <w:p>
      <w:pPr>
        <w:spacing w:line="360" w:lineRule="auto"/>
        <w:ind w:firstLine="420" w:firstLineChars="200"/>
        <w:jc w:val="left"/>
        <w:rPr>
          <w:rFonts w:ascii="宋体" w:hAnsi="宋体"/>
        </w:rPr>
      </w:pPr>
      <w:r>
        <w:rPr>
          <w:rFonts w:hint="eastAsia" w:ascii="宋体" w:hAnsi="宋体"/>
        </w:rPr>
        <w:t>86、《混凝土结构后锚固技术规程》JGJ 145-2004</w:t>
      </w:r>
    </w:p>
    <w:p>
      <w:pPr>
        <w:spacing w:line="360" w:lineRule="auto"/>
        <w:ind w:firstLine="420" w:firstLineChars="200"/>
        <w:jc w:val="left"/>
        <w:rPr>
          <w:rFonts w:ascii="宋体" w:hAnsi="宋体"/>
        </w:rPr>
      </w:pPr>
      <w:r>
        <w:rPr>
          <w:rFonts w:hint="eastAsia" w:ascii="宋体" w:hAnsi="宋体"/>
        </w:rPr>
        <w:t>87、</w:t>
      </w:r>
      <w:r>
        <w:rPr>
          <w:rFonts w:ascii="宋体" w:hAnsi="宋体"/>
        </w:rPr>
        <w:t>《</w:t>
      </w:r>
      <w:r>
        <w:rPr>
          <w:rFonts w:hint="eastAsia" w:ascii="宋体" w:hAnsi="宋体"/>
        </w:rPr>
        <w:t>白色硅酸盐水泥</w:t>
      </w:r>
      <w:r>
        <w:rPr>
          <w:rFonts w:ascii="宋体" w:hAnsi="宋体"/>
        </w:rPr>
        <w:t>》GB2015</w:t>
      </w:r>
      <w:r>
        <w:rPr>
          <w:rFonts w:hint="eastAsia" w:ascii="宋体" w:hAnsi="宋体"/>
        </w:rPr>
        <w:t>－</w:t>
      </w:r>
      <w:r>
        <w:rPr>
          <w:rFonts w:ascii="宋体" w:hAnsi="宋体"/>
        </w:rPr>
        <w:t>91</w:t>
      </w:r>
    </w:p>
    <w:p>
      <w:pPr>
        <w:spacing w:line="360" w:lineRule="auto"/>
        <w:ind w:firstLine="420" w:firstLineChars="200"/>
        <w:jc w:val="left"/>
        <w:rPr>
          <w:rFonts w:ascii="宋体" w:hAnsi="宋体"/>
        </w:rPr>
      </w:pPr>
      <w:r>
        <w:rPr>
          <w:rFonts w:hint="eastAsia" w:ascii="宋体" w:hAnsi="宋体"/>
        </w:rPr>
        <w:t>88、 《建筑用安全玻璃、防火玻璃》GB15763.1-2001</w:t>
      </w:r>
    </w:p>
    <w:p>
      <w:pPr>
        <w:spacing w:line="360" w:lineRule="auto"/>
        <w:ind w:firstLine="420" w:firstLineChars="200"/>
        <w:jc w:val="left"/>
        <w:rPr>
          <w:rFonts w:ascii="宋体" w:hAnsi="宋体"/>
        </w:rPr>
      </w:pPr>
      <w:r>
        <w:rPr>
          <w:rFonts w:hint="eastAsia" w:ascii="宋体" w:hAnsi="宋体"/>
        </w:rPr>
        <w:t>89、《钢化玻璃》GB/T9963－1998</w:t>
      </w:r>
    </w:p>
    <w:p>
      <w:pPr>
        <w:spacing w:line="360" w:lineRule="auto"/>
        <w:ind w:firstLine="420" w:firstLineChars="200"/>
        <w:jc w:val="left"/>
        <w:rPr>
          <w:rFonts w:ascii="宋体" w:hAnsi="宋体"/>
        </w:rPr>
      </w:pPr>
      <w:r>
        <w:rPr>
          <w:rFonts w:hint="eastAsia" w:ascii="宋体" w:hAnsi="宋体"/>
        </w:rPr>
        <w:t>90、《夹层玻璃》GB9962-1999</w:t>
      </w:r>
    </w:p>
    <w:p>
      <w:pPr>
        <w:spacing w:line="360" w:lineRule="auto"/>
        <w:ind w:firstLine="420" w:firstLineChars="200"/>
        <w:jc w:val="left"/>
        <w:rPr>
          <w:rFonts w:ascii="宋体" w:hAnsi="宋体"/>
        </w:rPr>
      </w:pPr>
      <w:r>
        <w:rPr>
          <w:rFonts w:hint="eastAsia" w:ascii="宋体" w:hAnsi="宋体"/>
        </w:rPr>
        <w:t>91、《建筑玻璃应用技术规程》JGJ113-2003</w:t>
      </w:r>
    </w:p>
    <w:p>
      <w:pPr>
        <w:spacing w:line="360" w:lineRule="auto"/>
        <w:ind w:firstLine="420" w:firstLineChars="200"/>
        <w:jc w:val="left"/>
        <w:rPr>
          <w:rFonts w:ascii="宋体" w:hAnsi="宋体"/>
        </w:rPr>
      </w:pPr>
      <w:r>
        <w:rPr>
          <w:rFonts w:hint="eastAsia" w:ascii="宋体" w:hAnsi="宋体"/>
        </w:rPr>
        <w:t>92、</w:t>
      </w:r>
      <w:r>
        <w:rPr>
          <w:rFonts w:ascii="宋体" w:hAnsi="宋体"/>
        </w:rPr>
        <w:t>《</w:t>
      </w:r>
      <w:r>
        <w:rPr>
          <w:rFonts w:hint="eastAsia" w:ascii="宋体" w:hAnsi="宋体"/>
        </w:rPr>
        <w:t>建筑窗用弹性密封膏</w:t>
      </w:r>
      <w:r>
        <w:rPr>
          <w:rFonts w:ascii="宋体" w:hAnsi="宋体"/>
        </w:rPr>
        <w:t>》JC  485</w:t>
      </w:r>
      <w:r>
        <w:rPr>
          <w:rFonts w:hint="eastAsia" w:ascii="宋体" w:hAnsi="宋体"/>
        </w:rPr>
        <w:t>－</w:t>
      </w:r>
      <w:r>
        <w:rPr>
          <w:rFonts w:ascii="宋体" w:hAnsi="宋体"/>
        </w:rPr>
        <w:t>92</w:t>
      </w:r>
    </w:p>
    <w:p>
      <w:pPr>
        <w:spacing w:line="360" w:lineRule="auto"/>
        <w:ind w:firstLine="420" w:firstLineChars="200"/>
        <w:jc w:val="left"/>
        <w:rPr>
          <w:rFonts w:ascii="宋体" w:hAnsi="宋体"/>
        </w:rPr>
      </w:pPr>
      <w:r>
        <w:rPr>
          <w:rFonts w:hint="eastAsia" w:ascii="宋体" w:hAnsi="宋体"/>
        </w:rPr>
        <w:t>93、</w:t>
      </w:r>
      <w:r>
        <w:rPr>
          <w:rFonts w:ascii="宋体" w:hAnsi="宋体"/>
        </w:rPr>
        <w:t>《</w:t>
      </w:r>
      <w:r>
        <w:rPr>
          <w:rFonts w:hint="eastAsia" w:ascii="宋体" w:hAnsi="宋体"/>
        </w:rPr>
        <w:t>建筑室内用腻子</w:t>
      </w:r>
      <w:r>
        <w:rPr>
          <w:rFonts w:ascii="宋体" w:hAnsi="宋体"/>
        </w:rPr>
        <w:t>》JG/T3049-1998</w:t>
      </w:r>
    </w:p>
    <w:p>
      <w:pPr>
        <w:spacing w:line="360" w:lineRule="auto"/>
        <w:ind w:firstLine="420" w:firstLineChars="200"/>
        <w:jc w:val="left"/>
        <w:rPr>
          <w:rFonts w:ascii="宋体" w:hAnsi="宋体"/>
        </w:rPr>
      </w:pPr>
      <w:r>
        <w:rPr>
          <w:rFonts w:hint="eastAsia" w:ascii="宋体" w:hAnsi="宋体"/>
        </w:rPr>
        <w:t>94、《关于加强建筑工程室内环境质量的若干意见》（建办质【2002】17号）</w:t>
      </w:r>
    </w:p>
    <w:p>
      <w:pPr>
        <w:spacing w:line="360" w:lineRule="auto"/>
        <w:ind w:firstLine="420" w:firstLineChars="200"/>
        <w:jc w:val="left"/>
        <w:rPr>
          <w:rFonts w:ascii="宋体" w:hAnsi="宋体"/>
        </w:rPr>
      </w:pPr>
      <w:r>
        <w:rPr>
          <w:rFonts w:hint="eastAsia" w:ascii="宋体" w:hAnsi="宋体"/>
        </w:rPr>
        <w:t>95、《住宅室内装饰装修管理办法》（建设部令第110号）</w:t>
      </w:r>
    </w:p>
    <w:p>
      <w:pPr>
        <w:spacing w:line="360" w:lineRule="auto"/>
        <w:ind w:firstLine="420" w:firstLineChars="200"/>
        <w:jc w:val="left"/>
        <w:rPr>
          <w:rFonts w:ascii="宋体" w:hAnsi="宋体"/>
        </w:rPr>
      </w:pPr>
      <w:r>
        <w:rPr>
          <w:rFonts w:hint="eastAsia" w:ascii="宋体" w:hAnsi="宋体"/>
        </w:rPr>
        <w:t>96、《住宅装饰装修工程施工规范》GB50327-2001</w:t>
      </w:r>
    </w:p>
    <w:p>
      <w:pPr>
        <w:spacing w:line="360" w:lineRule="auto"/>
        <w:ind w:firstLine="420" w:firstLineChars="200"/>
        <w:jc w:val="left"/>
        <w:rPr>
          <w:rFonts w:ascii="宋体" w:hAnsi="宋体"/>
        </w:rPr>
      </w:pPr>
      <w:r>
        <w:rPr>
          <w:rFonts w:hint="eastAsia" w:ascii="宋体" w:hAnsi="宋体"/>
        </w:rPr>
        <w:t>97、《建筑隔声评价标准》GBJ121-88</w:t>
      </w:r>
    </w:p>
    <w:p>
      <w:pPr>
        <w:spacing w:line="360" w:lineRule="auto"/>
        <w:ind w:firstLine="420" w:firstLineChars="200"/>
        <w:jc w:val="left"/>
        <w:rPr>
          <w:rFonts w:ascii="宋体" w:hAnsi="宋体"/>
        </w:rPr>
      </w:pPr>
      <w:r>
        <w:rPr>
          <w:rFonts w:hint="eastAsia" w:ascii="宋体" w:hAnsi="宋体"/>
        </w:rPr>
        <w:t>98、《厅堂混响时间测量规范》GBJ76-84</w:t>
      </w:r>
    </w:p>
    <w:p>
      <w:pPr>
        <w:spacing w:line="360" w:lineRule="auto"/>
        <w:ind w:firstLine="420" w:firstLineChars="200"/>
        <w:jc w:val="left"/>
        <w:rPr>
          <w:rFonts w:ascii="宋体" w:hAnsi="宋体"/>
        </w:rPr>
      </w:pPr>
      <w:r>
        <w:rPr>
          <w:rFonts w:hint="eastAsia" w:ascii="宋体" w:hAnsi="宋体"/>
        </w:rPr>
        <w:t>99、《建筑隔声测量规范》GBJ75-84</w:t>
      </w:r>
    </w:p>
    <w:p>
      <w:pPr>
        <w:spacing w:line="360" w:lineRule="auto"/>
        <w:ind w:firstLine="420" w:firstLineChars="200"/>
        <w:jc w:val="left"/>
        <w:rPr>
          <w:rFonts w:ascii="宋体" w:hAnsi="宋体"/>
        </w:rPr>
      </w:pPr>
      <w:r>
        <w:rPr>
          <w:rFonts w:hint="eastAsia" w:ascii="宋体" w:hAnsi="宋体"/>
        </w:rPr>
        <w:t xml:space="preserve">100、《地下防水工程质量验收规范》GB50208-2002 </w:t>
      </w:r>
    </w:p>
    <w:p>
      <w:pPr>
        <w:spacing w:line="360" w:lineRule="auto"/>
        <w:ind w:firstLine="420" w:firstLineChars="200"/>
        <w:jc w:val="left"/>
        <w:rPr>
          <w:rFonts w:ascii="宋体" w:hAnsi="宋体"/>
        </w:rPr>
      </w:pPr>
      <w:r>
        <w:rPr>
          <w:rFonts w:hint="eastAsia" w:ascii="宋体" w:hAnsi="宋体"/>
        </w:rPr>
        <w:t>101、《土方与爆破工程施工及验收规范》（GBJ201）</w:t>
      </w:r>
    </w:p>
    <w:p>
      <w:pPr>
        <w:spacing w:line="360" w:lineRule="auto"/>
        <w:ind w:firstLine="420" w:firstLineChars="200"/>
        <w:jc w:val="left"/>
        <w:rPr>
          <w:rFonts w:ascii="宋体" w:hAnsi="宋体"/>
        </w:rPr>
      </w:pPr>
      <w:r>
        <w:rPr>
          <w:rFonts w:hint="eastAsia" w:ascii="宋体" w:hAnsi="宋体"/>
        </w:rPr>
        <w:t>102、《紧固件机械性能 不锈钢螺栓、螺钉和螺柱》GB/T3098.6-2000</w:t>
      </w:r>
    </w:p>
    <w:p>
      <w:pPr>
        <w:spacing w:line="360" w:lineRule="auto"/>
        <w:ind w:firstLine="420" w:firstLineChars="200"/>
        <w:jc w:val="left"/>
        <w:rPr>
          <w:rFonts w:ascii="宋体" w:hAnsi="宋体"/>
        </w:rPr>
      </w:pPr>
      <w:r>
        <w:rPr>
          <w:rFonts w:hint="eastAsia" w:ascii="宋体" w:hAnsi="宋体"/>
        </w:rPr>
        <w:t>103、《建筑电气安装工程质量检验评定标准》GB50303-2002</w:t>
      </w:r>
    </w:p>
    <w:p>
      <w:pPr>
        <w:spacing w:line="360" w:lineRule="auto"/>
        <w:ind w:firstLine="420" w:firstLineChars="200"/>
        <w:jc w:val="left"/>
        <w:rPr>
          <w:rFonts w:ascii="宋体" w:hAnsi="宋体"/>
        </w:rPr>
      </w:pPr>
      <w:r>
        <w:rPr>
          <w:rFonts w:hint="eastAsia" w:ascii="宋体" w:hAnsi="宋体"/>
        </w:rPr>
        <w:t>104、《建筑机械使用安全技术规范》JJ33-2001 J119-2001</w:t>
      </w:r>
    </w:p>
    <w:p>
      <w:pPr>
        <w:spacing w:line="360" w:lineRule="auto"/>
        <w:ind w:firstLine="420" w:firstLineChars="200"/>
        <w:jc w:val="left"/>
        <w:rPr>
          <w:rFonts w:ascii="宋体" w:hAnsi="宋体"/>
        </w:rPr>
      </w:pPr>
      <w:r>
        <w:rPr>
          <w:rFonts w:hint="eastAsia" w:ascii="宋体" w:hAnsi="宋体"/>
        </w:rPr>
        <w:t>105、</w:t>
      </w:r>
      <w:r>
        <w:rPr>
          <w:rFonts w:ascii="宋体" w:hAnsi="宋体"/>
        </w:rPr>
        <w:t>《建筑瓷板装饰工程技术规程》CECS 101—98</w:t>
      </w:r>
    </w:p>
    <w:p>
      <w:pPr>
        <w:spacing w:line="360" w:lineRule="auto"/>
        <w:ind w:firstLine="420" w:firstLineChars="200"/>
        <w:jc w:val="left"/>
        <w:rPr>
          <w:rFonts w:ascii="宋体" w:hAnsi="宋体"/>
        </w:rPr>
      </w:pPr>
      <w:r>
        <w:rPr>
          <w:rFonts w:hint="eastAsia" w:ascii="宋体" w:hAnsi="宋体"/>
        </w:rPr>
        <w:t>106、《建设工程监理规范》GB50319-2000</w:t>
      </w:r>
    </w:p>
    <w:p>
      <w:pPr>
        <w:spacing w:line="360" w:lineRule="auto"/>
        <w:ind w:firstLine="420" w:firstLineChars="200"/>
        <w:jc w:val="left"/>
        <w:rPr>
          <w:rFonts w:ascii="宋体" w:hAnsi="宋体"/>
        </w:rPr>
      </w:pPr>
      <w:r>
        <w:rPr>
          <w:rFonts w:hint="eastAsia" w:ascii="宋体" w:hAnsi="宋体"/>
        </w:rPr>
        <w:t>107、《民用建筑电气设计规范》GBJ/T16-92</w:t>
      </w:r>
    </w:p>
    <w:p>
      <w:pPr>
        <w:spacing w:line="360" w:lineRule="auto"/>
        <w:ind w:firstLine="420" w:firstLineChars="200"/>
        <w:jc w:val="left"/>
        <w:rPr>
          <w:rFonts w:ascii="宋体" w:hAnsi="宋体"/>
        </w:rPr>
      </w:pPr>
      <w:r>
        <w:rPr>
          <w:rFonts w:hint="eastAsia" w:ascii="宋体" w:hAnsi="宋体"/>
        </w:rPr>
        <w:t>108、《民用建筑隔声设计规范》 GB50325-2001</w:t>
      </w:r>
    </w:p>
    <w:p>
      <w:pPr>
        <w:spacing w:line="360" w:lineRule="auto"/>
        <w:ind w:firstLine="420" w:firstLineChars="200"/>
        <w:jc w:val="left"/>
        <w:rPr>
          <w:rFonts w:ascii="宋体" w:hAnsi="宋体"/>
        </w:rPr>
      </w:pPr>
      <w:r>
        <w:rPr>
          <w:rFonts w:hint="eastAsia" w:ascii="宋体" w:hAnsi="宋体"/>
        </w:rPr>
        <w:t>109、《建筑防火封堵应用技术规程》CECS 154：2003</w:t>
      </w:r>
    </w:p>
    <w:p>
      <w:pPr>
        <w:spacing w:line="360" w:lineRule="auto"/>
        <w:ind w:firstLine="420" w:firstLineChars="200"/>
        <w:jc w:val="left"/>
        <w:rPr>
          <w:rFonts w:ascii="宋体" w:hAnsi="宋体"/>
        </w:rPr>
      </w:pPr>
      <w:r>
        <w:rPr>
          <w:rFonts w:hint="eastAsia" w:ascii="宋体" w:hAnsi="宋体"/>
        </w:rPr>
        <w:t>110、《建筑内部装修设计防火规范》GB-50222-952001年修订版</w:t>
      </w:r>
    </w:p>
    <w:p>
      <w:pPr>
        <w:spacing w:line="360" w:lineRule="auto"/>
        <w:ind w:firstLine="420" w:firstLineChars="200"/>
        <w:jc w:val="left"/>
        <w:rPr>
          <w:rFonts w:ascii="宋体" w:hAnsi="宋体"/>
        </w:rPr>
      </w:pPr>
      <w:r>
        <w:rPr>
          <w:rFonts w:hint="eastAsia" w:ascii="宋体" w:hAnsi="宋体"/>
        </w:rPr>
        <w:t>111、《高层民用建筑设计防火规范》GB50045-95 2001年修订版</w:t>
      </w:r>
    </w:p>
    <w:p>
      <w:pPr>
        <w:spacing w:line="360" w:lineRule="auto"/>
        <w:ind w:firstLine="420" w:firstLineChars="200"/>
        <w:jc w:val="left"/>
        <w:rPr>
          <w:rFonts w:ascii="宋体" w:hAnsi="宋体"/>
        </w:rPr>
      </w:pPr>
      <w:r>
        <w:rPr>
          <w:rFonts w:hint="eastAsia" w:ascii="宋体" w:hAnsi="宋体"/>
        </w:rPr>
        <w:t>112、《建筑设计防火规范》GBJ16-872001年版</w:t>
      </w:r>
    </w:p>
    <w:p>
      <w:pPr>
        <w:spacing w:line="360" w:lineRule="auto"/>
        <w:ind w:firstLine="420" w:firstLineChars="200"/>
        <w:jc w:val="left"/>
        <w:rPr>
          <w:rFonts w:ascii="宋体" w:hAnsi="宋体"/>
        </w:rPr>
      </w:pPr>
      <w:r>
        <w:rPr>
          <w:rFonts w:hint="eastAsia" w:ascii="宋体" w:hAnsi="宋体"/>
        </w:rPr>
        <w:t>113、《混凝土结构设计规范》（</w:t>
      </w:r>
      <w:r>
        <w:rPr>
          <w:rFonts w:ascii="宋体" w:hAnsi="宋体"/>
        </w:rPr>
        <w:t>GB50010</w:t>
      </w:r>
      <w:r>
        <w:rPr>
          <w:rFonts w:hint="eastAsia" w:ascii="宋体" w:hAnsi="宋体"/>
        </w:rPr>
        <w:t>—2002）</w:t>
      </w:r>
    </w:p>
    <w:p>
      <w:pPr>
        <w:spacing w:line="360" w:lineRule="auto"/>
        <w:ind w:firstLine="420" w:firstLineChars="200"/>
        <w:jc w:val="left"/>
        <w:rPr>
          <w:rFonts w:ascii="宋体" w:hAnsi="宋体"/>
        </w:rPr>
      </w:pPr>
      <w:r>
        <w:rPr>
          <w:rFonts w:hint="eastAsia" w:ascii="宋体" w:hAnsi="宋体"/>
        </w:rPr>
        <w:t>114、《体育建筑设计规范》（JGJ31-2003</w:t>
      </w:r>
      <w:r>
        <w:rPr>
          <w:rFonts w:ascii="宋体" w:hAnsi="宋体"/>
        </w:rPr>
        <w:t>）</w:t>
      </w:r>
    </w:p>
    <w:p>
      <w:pPr>
        <w:spacing w:line="360" w:lineRule="auto"/>
        <w:ind w:firstLine="420" w:firstLineChars="200"/>
        <w:jc w:val="left"/>
        <w:rPr>
          <w:rFonts w:ascii="宋体" w:hAnsi="宋体"/>
        </w:rPr>
      </w:pPr>
      <w:r>
        <w:rPr>
          <w:rFonts w:hint="eastAsia" w:ascii="宋体" w:hAnsi="宋体"/>
        </w:rPr>
        <w:t>115、《图书馆建筑设计规范》（GBJ38-99</w:t>
      </w:r>
      <w:r>
        <w:rPr>
          <w:rFonts w:ascii="宋体" w:hAnsi="宋体"/>
        </w:rPr>
        <w:t>）</w:t>
      </w:r>
    </w:p>
    <w:p>
      <w:pPr>
        <w:spacing w:line="360" w:lineRule="auto"/>
        <w:ind w:firstLine="420" w:firstLineChars="200"/>
        <w:jc w:val="left"/>
        <w:rPr>
          <w:rFonts w:ascii="宋体" w:hAnsi="宋体"/>
        </w:rPr>
      </w:pPr>
      <w:r>
        <w:rPr>
          <w:rFonts w:hint="eastAsia" w:ascii="宋体" w:hAnsi="宋体"/>
        </w:rPr>
        <w:t>116、《民用建筑设计通则》（2005版）</w:t>
      </w:r>
    </w:p>
    <w:p>
      <w:pPr>
        <w:spacing w:line="360" w:lineRule="auto"/>
        <w:ind w:firstLine="420" w:firstLineChars="200"/>
        <w:jc w:val="left"/>
        <w:rPr>
          <w:rFonts w:ascii="宋体" w:hAnsi="宋体"/>
        </w:rPr>
      </w:pPr>
      <w:r>
        <w:rPr>
          <w:rFonts w:hint="eastAsia" w:ascii="宋体" w:hAnsi="宋体"/>
        </w:rPr>
        <w:t>117、《剧场建筑设计规范》（JGJ57-2000</w:t>
      </w:r>
      <w:r>
        <w:rPr>
          <w:rFonts w:ascii="宋体" w:hAnsi="宋体"/>
        </w:rPr>
        <w:t>）</w:t>
      </w:r>
    </w:p>
    <w:p>
      <w:pPr>
        <w:spacing w:line="360" w:lineRule="auto"/>
        <w:ind w:firstLine="420" w:firstLineChars="200"/>
        <w:jc w:val="left"/>
        <w:rPr>
          <w:rFonts w:ascii="宋体" w:hAnsi="宋体"/>
        </w:rPr>
      </w:pPr>
      <w:r>
        <w:rPr>
          <w:rFonts w:hint="eastAsia" w:ascii="宋体" w:hAnsi="宋体"/>
        </w:rPr>
        <w:t>118、《人民防空地下室设计规范》（GB 50038-2005</w:t>
      </w:r>
      <w:r>
        <w:rPr>
          <w:rFonts w:ascii="宋体" w:hAnsi="宋体"/>
        </w:rPr>
        <w:t>）</w:t>
      </w:r>
    </w:p>
    <w:p>
      <w:pPr>
        <w:spacing w:line="360" w:lineRule="auto"/>
        <w:ind w:firstLine="420" w:firstLineChars="200"/>
        <w:jc w:val="left"/>
        <w:rPr>
          <w:rFonts w:ascii="宋体" w:hAnsi="宋体"/>
        </w:rPr>
      </w:pPr>
      <w:r>
        <w:rPr>
          <w:rFonts w:hint="eastAsia" w:ascii="宋体" w:hAnsi="宋体"/>
        </w:rPr>
        <w:t>119、《汽车库建筑设计规范》（JGJ100-98</w:t>
      </w:r>
      <w:r>
        <w:rPr>
          <w:rFonts w:ascii="宋体" w:hAnsi="宋体"/>
        </w:rPr>
        <w:t>）</w:t>
      </w:r>
    </w:p>
    <w:p>
      <w:pPr>
        <w:spacing w:line="360" w:lineRule="auto"/>
        <w:ind w:firstLine="420" w:firstLineChars="200"/>
        <w:jc w:val="left"/>
        <w:rPr>
          <w:rFonts w:ascii="宋体" w:hAnsi="宋体"/>
        </w:rPr>
      </w:pPr>
      <w:r>
        <w:rPr>
          <w:rFonts w:hint="eastAsia" w:ascii="宋体" w:hAnsi="宋体"/>
        </w:rPr>
        <w:t>120、《人民防空工程设计防火规范》（GB 50038-98</w:t>
      </w:r>
      <w:r>
        <w:rPr>
          <w:rFonts w:ascii="宋体" w:hAnsi="宋体"/>
        </w:rPr>
        <w:t>）</w:t>
      </w:r>
      <w:r>
        <w:rPr>
          <w:rFonts w:hint="eastAsia" w:ascii="宋体" w:hAnsi="宋体"/>
        </w:rPr>
        <w:t>2001版</w:t>
      </w:r>
    </w:p>
    <w:p>
      <w:pPr>
        <w:spacing w:line="360" w:lineRule="auto"/>
        <w:ind w:firstLine="420" w:firstLineChars="200"/>
        <w:jc w:val="left"/>
        <w:rPr>
          <w:rFonts w:ascii="宋体" w:hAnsi="宋体"/>
        </w:rPr>
      </w:pPr>
      <w:r>
        <w:rPr>
          <w:rFonts w:hint="eastAsia" w:ascii="宋体" w:hAnsi="宋体"/>
        </w:rPr>
        <w:t>121、《汽车库设计防火规范》（GB50067-97</w:t>
      </w:r>
      <w:r>
        <w:rPr>
          <w:rFonts w:ascii="宋体" w:hAnsi="宋体"/>
        </w:rPr>
        <w:t>）</w:t>
      </w:r>
    </w:p>
    <w:p>
      <w:pPr>
        <w:spacing w:line="360" w:lineRule="auto"/>
        <w:ind w:firstLine="420" w:firstLineChars="200"/>
        <w:jc w:val="left"/>
        <w:rPr>
          <w:rFonts w:ascii="宋体" w:hAnsi="宋体"/>
        </w:rPr>
      </w:pPr>
      <w:r>
        <w:rPr>
          <w:rFonts w:hint="eastAsia" w:ascii="宋体" w:hAnsi="宋体"/>
        </w:rPr>
        <w:t>122、《人民防空防护设备图集》（RFJ01-2005</w:t>
      </w:r>
      <w:r>
        <w:rPr>
          <w:rFonts w:ascii="宋体" w:hAnsi="宋体"/>
        </w:rPr>
        <w:t>）</w:t>
      </w:r>
    </w:p>
    <w:p>
      <w:pPr>
        <w:spacing w:line="360" w:lineRule="auto"/>
        <w:ind w:firstLine="420" w:firstLineChars="200"/>
        <w:jc w:val="left"/>
        <w:rPr>
          <w:rFonts w:ascii="宋体" w:hAnsi="宋体"/>
        </w:rPr>
      </w:pPr>
      <w:r>
        <w:rPr>
          <w:rFonts w:hint="eastAsia" w:ascii="宋体" w:hAnsi="宋体"/>
        </w:rPr>
        <w:t>123、《岩土工程验收和质量评定标准》（YB9010）</w:t>
      </w:r>
    </w:p>
    <w:p>
      <w:pPr>
        <w:spacing w:line="360" w:lineRule="auto"/>
        <w:ind w:firstLine="420" w:firstLineChars="200"/>
        <w:jc w:val="left"/>
        <w:rPr>
          <w:rFonts w:ascii="宋体" w:hAnsi="宋体"/>
        </w:rPr>
      </w:pPr>
      <w:r>
        <w:rPr>
          <w:rFonts w:hint="eastAsia" w:ascii="宋体" w:hAnsi="宋体"/>
        </w:rPr>
        <w:t>124、《深圳地区地基基础处理规范》（</w:t>
      </w:r>
      <w:r>
        <w:rPr>
          <w:rFonts w:ascii="宋体" w:hAnsi="宋体"/>
        </w:rPr>
        <w:t>DGJ05</w:t>
      </w:r>
      <w:r>
        <w:rPr>
          <w:rFonts w:hint="eastAsia" w:ascii="宋体" w:hAnsi="宋体"/>
        </w:rPr>
        <w:t>—</w:t>
      </w:r>
      <w:r>
        <w:rPr>
          <w:rFonts w:ascii="宋体" w:hAnsi="宋体"/>
        </w:rPr>
        <w:t>96</w:t>
      </w:r>
      <w:r>
        <w:rPr>
          <w:rFonts w:hint="eastAsia" w:ascii="宋体" w:hAnsi="宋体"/>
        </w:rPr>
        <w:t>）</w:t>
      </w:r>
    </w:p>
    <w:p>
      <w:pPr>
        <w:spacing w:line="360" w:lineRule="auto"/>
        <w:ind w:firstLine="420" w:firstLineChars="200"/>
        <w:jc w:val="left"/>
        <w:rPr>
          <w:rFonts w:ascii="宋体" w:hAnsi="宋体"/>
        </w:rPr>
      </w:pPr>
      <w:r>
        <w:rPr>
          <w:rFonts w:hint="eastAsia" w:ascii="宋体" w:hAnsi="宋体"/>
        </w:rPr>
        <w:t>125、《中华人民共和国工程建设标准强制性条文》（2002版）</w:t>
      </w:r>
    </w:p>
    <w:p>
      <w:pPr>
        <w:spacing w:line="360" w:lineRule="auto"/>
        <w:ind w:firstLine="420" w:firstLineChars="200"/>
        <w:jc w:val="left"/>
        <w:rPr>
          <w:rFonts w:ascii="宋体" w:hAnsi="宋体"/>
        </w:rPr>
      </w:pPr>
      <w:r>
        <w:rPr>
          <w:rFonts w:hint="eastAsia" w:ascii="宋体" w:hAnsi="宋体"/>
        </w:rPr>
        <w:t>126、《玻璃幕墙工程技术规范》（JGJ102-2003</w:t>
      </w:r>
    </w:p>
    <w:p>
      <w:pPr>
        <w:spacing w:line="360" w:lineRule="auto"/>
        <w:ind w:firstLine="420" w:firstLineChars="200"/>
        <w:rPr>
          <w:szCs w:val="21"/>
        </w:rPr>
      </w:pPr>
      <w:r>
        <w:rPr>
          <w:rFonts w:hint="eastAsia"/>
          <w:szCs w:val="21"/>
        </w:rPr>
        <w:t>以及其它与本工程相关工程项目有关的规范、条例、法律条文等。</w:t>
      </w:r>
    </w:p>
    <w:p>
      <w:pPr>
        <w:spacing w:line="360" w:lineRule="auto"/>
        <w:ind w:firstLine="420" w:firstLineChars="200"/>
        <w:rPr>
          <w:szCs w:val="21"/>
        </w:rPr>
      </w:pPr>
      <w:r>
        <w:rPr>
          <w:rFonts w:hint="eastAsia"/>
          <w:szCs w:val="21"/>
        </w:rPr>
        <w:t>如上述标准及规范要求有出入则以较严格者为准。</w:t>
      </w:r>
    </w:p>
    <w:p>
      <w:pPr>
        <w:spacing w:line="360" w:lineRule="auto"/>
        <w:ind w:firstLine="420" w:firstLineChars="200"/>
        <w:jc w:val="left"/>
      </w:pPr>
      <w:r>
        <w:rPr>
          <w:rFonts w:hint="eastAsia"/>
        </w:rPr>
        <w:t>在合同履行期间，本工程所采用的标准或规范若有修改或新颁布的内容，应按修改或新颁布的内容执行。</w:t>
      </w:r>
    </w:p>
    <w:p>
      <w:pPr>
        <w:spacing w:line="360" w:lineRule="auto"/>
        <w:jc w:val="left"/>
        <w:rPr>
          <w:rFonts w:ascii="宋体" w:hAnsi="宋体"/>
          <w:bCs/>
          <w:iCs/>
        </w:rPr>
      </w:pPr>
    </w:p>
    <w:p>
      <w:pPr>
        <w:spacing w:before="360" w:beforeLines="150" w:after="120" w:afterLines="50" w:line="360" w:lineRule="auto"/>
        <w:jc w:val="center"/>
        <w:rPr>
          <w:rFonts w:hint="eastAsia"/>
          <w:b/>
          <w:sz w:val="36"/>
          <w:szCs w:val="36"/>
        </w:rPr>
      </w:pPr>
      <w:r>
        <w:rPr>
          <w:rFonts w:hint="eastAsia"/>
          <w:b/>
          <w:sz w:val="36"/>
          <w:szCs w:val="36"/>
        </w:rPr>
        <w:br w:type="page"/>
      </w:r>
    </w:p>
    <w:p>
      <w:pPr>
        <w:spacing w:before="360" w:beforeLines="150" w:after="120" w:afterLines="50" w:line="360" w:lineRule="auto"/>
        <w:jc w:val="center"/>
        <w:rPr>
          <w:b/>
          <w:sz w:val="36"/>
          <w:szCs w:val="36"/>
        </w:rPr>
      </w:pPr>
      <w:r>
        <w:rPr>
          <w:rFonts w:hint="eastAsia"/>
          <w:b/>
          <w:sz w:val="36"/>
          <w:szCs w:val="36"/>
        </w:rPr>
        <w:t>第二章   施工技术要求</w:t>
      </w:r>
    </w:p>
    <w:p>
      <w:pPr>
        <w:tabs>
          <w:tab w:val="left" w:pos="1880"/>
        </w:tabs>
        <w:spacing w:line="480" w:lineRule="exact"/>
        <w:ind w:firstLine="359" w:firstLineChars="171"/>
        <w:rPr>
          <w:rFonts w:ascii="宋体" w:hAnsi="宋体"/>
          <w:szCs w:val="21"/>
        </w:rPr>
      </w:pPr>
      <w:r>
        <w:rPr>
          <w:rFonts w:hint="eastAsia" w:ascii="宋体" w:hAnsi="宋体"/>
          <w:szCs w:val="21"/>
        </w:rPr>
        <w:t>本要求须与修缮工程施工图一起使用，应以图纸中的内容为主，工程应严格按图施工。在符合本要求外，承包商更应符合国家与地方有关法律、法规和规范、规程要求。</w:t>
      </w:r>
    </w:p>
    <w:p>
      <w:pPr>
        <w:spacing w:before="360" w:beforeLines="150" w:after="120" w:afterLines="50" w:line="360" w:lineRule="auto"/>
        <w:jc w:val="center"/>
        <w:rPr>
          <w:b/>
          <w:sz w:val="28"/>
          <w:szCs w:val="28"/>
        </w:rPr>
      </w:pPr>
      <w:r>
        <w:rPr>
          <w:rFonts w:hint="eastAsia"/>
          <w:b/>
          <w:sz w:val="28"/>
          <w:szCs w:val="28"/>
        </w:rPr>
        <w:t>第一节 建筑装饰装修工程</w:t>
      </w:r>
    </w:p>
    <w:p>
      <w:pPr>
        <w:pStyle w:val="21"/>
        <w:spacing w:line="360" w:lineRule="auto"/>
        <w:ind w:firstLine="413" w:firstLineChars="196"/>
        <w:rPr>
          <w:rFonts w:hAnsi="宋体"/>
          <w:kern w:val="2"/>
          <w:sz w:val="21"/>
        </w:rPr>
      </w:pPr>
      <w:r>
        <w:rPr>
          <w:rFonts w:hint="eastAsia" w:hAnsi="宋体"/>
          <w:b/>
          <w:kern w:val="2"/>
          <w:sz w:val="21"/>
        </w:rPr>
        <w:t>所有建筑装修项目在施工前须做样板。</w:t>
      </w:r>
      <w:r>
        <w:rPr>
          <w:rFonts w:hint="eastAsia" w:hAnsi="宋体"/>
          <w:kern w:val="2"/>
          <w:sz w:val="21"/>
        </w:rPr>
        <w:t>承包人应在设计单位建筑设计师指定的区间建造样板间。有关材料及操作工艺均以设计要求为标准。竣工的样板间由建筑设计师检验，经业主、监理认可后，方可全面推行。否则，一切返工责任均由承包人承担。不合标准的样板间需有承包人自费拆卸及重新修建，直至合格为止。没有建筑设计师或业主同意，承包人不得拆卸样板间或移走样板间内任何已批准的的样板。样板间将视为日后品质检验的标准及有关机电工程管线布置的根据。如有需要，建筑设计师将做细部上的修改。</w:t>
      </w:r>
    </w:p>
    <w:p>
      <w:pPr>
        <w:tabs>
          <w:tab w:val="left" w:pos="900"/>
          <w:tab w:val="left" w:pos="1140"/>
        </w:tabs>
        <w:spacing w:line="360" w:lineRule="auto"/>
        <w:jc w:val="left"/>
        <w:rPr>
          <w:b/>
        </w:rPr>
      </w:pPr>
      <w:r>
        <w:rPr>
          <w:rFonts w:hint="eastAsia"/>
          <w:b/>
        </w:rPr>
        <w:t>1、定位放线技术及要求</w:t>
      </w:r>
    </w:p>
    <w:p>
      <w:pPr>
        <w:spacing w:line="360" w:lineRule="auto"/>
        <w:rPr>
          <w:rFonts w:ascii="宋体" w:hAnsi="宋体"/>
          <w:szCs w:val="21"/>
        </w:rPr>
      </w:pPr>
      <w:r>
        <w:rPr>
          <w:rFonts w:hint="eastAsia" w:ascii="宋体" w:hAnsi="宋体"/>
          <w:szCs w:val="21"/>
        </w:rPr>
        <w:t>（1）根据总平面图纸或深化设计图纸（必须是经发包人、监理人、设计人三方确定，经过图纸会审后）进行计量、测定、编制坐标定位。</w:t>
      </w:r>
    </w:p>
    <w:p>
      <w:pPr>
        <w:spacing w:line="360" w:lineRule="auto"/>
        <w:rPr>
          <w:rFonts w:ascii="宋体" w:hAnsi="宋体"/>
          <w:szCs w:val="21"/>
        </w:rPr>
      </w:pPr>
      <w:r>
        <w:rPr>
          <w:rFonts w:hint="eastAsia" w:ascii="宋体" w:hAnsi="宋体"/>
          <w:szCs w:val="21"/>
        </w:rPr>
        <w:t>（2）在总平面中按功能要求分区域及平面轴线及结构几何尺寸定位。</w:t>
      </w:r>
    </w:p>
    <w:p>
      <w:pPr>
        <w:spacing w:line="360" w:lineRule="auto"/>
        <w:rPr>
          <w:rFonts w:ascii="宋体" w:hAnsi="宋体"/>
          <w:szCs w:val="21"/>
        </w:rPr>
      </w:pPr>
      <w:r>
        <w:rPr>
          <w:rFonts w:hint="eastAsia" w:ascii="宋体" w:hAnsi="宋体"/>
          <w:szCs w:val="21"/>
        </w:rPr>
        <w:t>（3）根据立面图的设计要求，采用</w:t>
      </w:r>
      <w:r>
        <w:rPr>
          <w:rFonts w:hint="eastAsia" w:ascii="宋体" w:hAnsi="宋体"/>
          <w:b/>
          <w:szCs w:val="21"/>
        </w:rPr>
        <w:t>激光水平仪</w:t>
      </w:r>
      <w:r>
        <w:rPr>
          <w:rFonts w:hint="eastAsia" w:ascii="宋体" w:hAnsi="宋体"/>
          <w:szCs w:val="21"/>
        </w:rPr>
        <w:t>定位法，标出各功能区域的实际标高定位。</w:t>
      </w:r>
    </w:p>
    <w:p>
      <w:pPr>
        <w:tabs>
          <w:tab w:val="left" w:pos="900"/>
          <w:tab w:val="left" w:pos="1140"/>
        </w:tabs>
        <w:spacing w:line="360" w:lineRule="auto"/>
        <w:jc w:val="left"/>
        <w:rPr>
          <w:b/>
        </w:rPr>
      </w:pPr>
      <w:r>
        <w:rPr>
          <w:rFonts w:hint="eastAsia"/>
          <w:b/>
        </w:rPr>
        <w:t>2、电路管线敷设的技术及要求</w:t>
      </w:r>
    </w:p>
    <w:p>
      <w:pPr>
        <w:spacing w:line="360" w:lineRule="auto"/>
        <w:rPr>
          <w:rFonts w:ascii="宋体" w:hAnsi="宋体"/>
          <w:szCs w:val="21"/>
        </w:rPr>
      </w:pPr>
      <w:r>
        <w:rPr>
          <w:rFonts w:hint="eastAsia" w:ascii="宋体" w:hAnsi="宋体"/>
          <w:szCs w:val="21"/>
        </w:rPr>
        <w:t>（1）根据每层的电路施工图的要求定出位置，定出水平标高，悬挂吊杆。</w:t>
      </w:r>
    </w:p>
    <w:p>
      <w:pPr>
        <w:spacing w:line="360" w:lineRule="auto"/>
        <w:rPr>
          <w:rFonts w:ascii="宋体" w:hAnsi="宋体"/>
          <w:szCs w:val="21"/>
        </w:rPr>
      </w:pPr>
      <w:r>
        <w:rPr>
          <w:rFonts w:hint="eastAsia" w:ascii="宋体" w:hAnsi="宋体"/>
          <w:szCs w:val="21"/>
        </w:rPr>
        <w:t>（2）安装接线盒，安装连接镀锌线管，接线盒与铁线管之间用直径Φ6.5钢筋电焊跨接处理。</w:t>
      </w:r>
    </w:p>
    <w:p>
      <w:pPr>
        <w:spacing w:line="360" w:lineRule="auto"/>
        <w:rPr>
          <w:rFonts w:ascii="宋体" w:hAnsi="宋体"/>
          <w:szCs w:val="21"/>
        </w:rPr>
      </w:pPr>
      <w:r>
        <w:rPr>
          <w:rFonts w:hint="eastAsia" w:ascii="宋体" w:hAnsi="宋体"/>
          <w:szCs w:val="21"/>
        </w:rPr>
        <w:t>（3）线管的入扣要消除批锋，以防利口刮伤电线。</w:t>
      </w:r>
    </w:p>
    <w:p>
      <w:pPr>
        <w:spacing w:line="360" w:lineRule="auto"/>
        <w:rPr>
          <w:rFonts w:ascii="宋体" w:hAnsi="宋体"/>
          <w:szCs w:val="21"/>
        </w:rPr>
      </w:pPr>
      <w:r>
        <w:rPr>
          <w:rFonts w:hint="eastAsia" w:ascii="宋体" w:hAnsi="宋体"/>
          <w:szCs w:val="21"/>
        </w:rPr>
        <w:t>（4）选用的PVV铜芯电线截面积一定要能满足线路的功率要求。电线必须有国家有关部门认可的合格证书及产品检测报告。</w:t>
      </w:r>
    </w:p>
    <w:p>
      <w:pPr>
        <w:spacing w:line="360" w:lineRule="auto"/>
        <w:rPr>
          <w:rFonts w:ascii="宋体" w:hAnsi="宋体"/>
          <w:szCs w:val="21"/>
        </w:rPr>
      </w:pPr>
      <w:r>
        <w:rPr>
          <w:rFonts w:hint="eastAsia" w:ascii="宋体" w:hAnsi="宋体"/>
          <w:szCs w:val="21"/>
        </w:rPr>
        <w:t>（5）线管穿线的截面积不能大于铁管的截面积3/4，电线不能在线管内存在接驳口。</w:t>
      </w:r>
    </w:p>
    <w:p>
      <w:pPr>
        <w:spacing w:line="360" w:lineRule="auto"/>
        <w:rPr>
          <w:rFonts w:ascii="宋体" w:hAnsi="宋体"/>
          <w:szCs w:val="21"/>
        </w:rPr>
      </w:pPr>
      <w:r>
        <w:rPr>
          <w:rFonts w:hint="eastAsia" w:ascii="宋体" w:hAnsi="宋体"/>
          <w:szCs w:val="21"/>
        </w:rPr>
        <w:t>（6）金属软管（蛇皮管）在接线盒中接出长度不能超过60mm。</w:t>
      </w:r>
    </w:p>
    <w:p>
      <w:pPr>
        <w:spacing w:line="360" w:lineRule="auto"/>
        <w:rPr>
          <w:rFonts w:ascii="宋体" w:hAnsi="宋体"/>
          <w:szCs w:val="21"/>
        </w:rPr>
      </w:pPr>
      <w:r>
        <w:rPr>
          <w:rFonts w:hint="eastAsia" w:ascii="宋体" w:hAnsi="宋体"/>
          <w:szCs w:val="21"/>
        </w:rPr>
        <w:t>（7）线管的安装注意美观规范，横平竖直，不能乱拉乱接，歪歪斜斜，安装一定要牢固。</w:t>
      </w:r>
    </w:p>
    <w:p>
      <w:pPr>
        <w:pStyle w:val="21"/>
        <w:adjustRightInd w:val="0"/>
        <w:snapToGrid w:val="0"/>
        <w:spacing w:line="360" w:lineRule="auto"/>
        <w:ind w:firstLine="402" w:firstLineChars="200"/>
        <w:rPr>
          <w:rFonts w:hAnsi="宋体"/>
          <w:b/>
        </w:rPr>
      </w:pPr>
    </w:p>
    <w:p>
      <w:pPr>
        <w:pStyle w:val="21"/>
        <w:adjustRightInd w:val="0"/>
        <w:snapToGrid w:val="0"/>
        <w:spacing w:line="360" w:lineRule="auto"/>
        <w:ind w:firstLine="422" w:firstLineChars="200"/>
        <w:rPr>
          <w:rFonts w:hAnsi="宋体"/>
          <w:b/>
          <w:kern w:val="2"/>
          <w:sz w:val="21"/>
        </w:rPr>
      </w:pPr>
      <w:r>
        <w:rPr>
          <w:rFonts w:hint="eastAsia" w:hAnsi="宋体"/>
          <w:b/>
          <w:kern w:val="2"/>
          <w:sz w:val="21"/>
        </w:rPr>
        <w:t xml:space="preserve">一、地面工程   </w:t>
      </w:r>
    </w:p>
    <w:p>
      <w:pPr>
        <w:spacing w:line="360" w:lineRule="auto"/>
        <w:rPr>
          <w:rFonts w:ascii="宋体" w:hAnsi="宋体"/>
          <w:szCs w:val="21"/>
        </w:rPr>
      </w:pPr>
      <w:r>
        <w:rPr>
          <w:rFonts w:hint="eastAsia" w:ascii="宋体" w:hAnsi="宋体"/>
          <w:szCs w:val="21"/>
        </w:rPr>
        <w:t>1、整体面层材料要求：</w:t>
      </w:r>
    </w:p>
    <w:p>
      <w:pPr>
        <w:spacing w:line="360" w:lineRule="auto"/>
        <w:rPr>
          <w:rFonts w:ascii="宋体" w:hAnsi="宋体"/>
          <w:szCs w:val="21"/>
        </w:rPr>
      </w:pPr>
      <w:r>
        <w:rPr>
          <w:rFonts w:hint="eastAsia" w:ascii="宋体" w:hAnsi="宋体"/>
          <w:szCs w:val="21"/>
        </w:rPr>
        <w:t>(1)细石混凝土面层:水泥选用硅酸盐水泥、普通硅酸盐水泥和矿渣硅酸盐水泥，强度等级42.5以上，砂为中砂或粗砂，砂中含泥量不大于5％，对有抗渗要求或其他特殊要求的，其含泥量不应大于3%。石子粒径不应大于15mm。</w:t>
      </w:r>
    </w:p>
    <w:p>
      <w:pPr>
        <w:spacing w:line="360" w:lineRule="auto"/>
        <w:rPr>
          <w:rFonts w:ascii="宋体" w:hAnsi="宋体"/>
          <w:szCs w:val="21"/>
        </w:rPr>
      </w:pPr>
      <w:r>
        <w:rPr>
          <w:rFonts w:hint="eastAsia" w:ascii="宋体" w:hAnsi="宋体"/>
          <w:szCs w:val="21"/>
        </w:rPr>
        <w:t>(2)水泥砂浆面层：水泥为硅酸盐水泥、普通硅酸盐水泥起强度等级不小于32.5，严禁混用不同品种，不同强度等级的水泥。砂为中砂或粗砂，砂中含泥量不大于3％。</w:t>
      </w:r>
    </w:p>
    <w:p>
      <w:pPr>
        <w:spacing w:line="360" w:lineRule="auto"/>
        <w:rPr>
          <w:rFonts w:ascii="宋体" w:hAnsi="宋体"/>
          <w:szCs w:val="21"/>
        </w:rPr>
      </w:pPr>
      <w:r>
        <w:rPr>
          <w:rFonts w:hint="eastAsia" w:ascii="宋体" w:hAnsi="宋体"/>
          <w:szCs w:val="21"/>
        </w:rPr>
        <w:t>(3)水泥砂浆防水面层：</w:t>
      </w:r>
    </w:p>
    <w:p>
      <w:pPr>
        <w:spacing w:line="360" w:lineRule="auto"/>
        <w:rPr>
          <w:rFonts w:ascii="宋体" w:hAnsi="宋体"/>
          <w:szCs w:val="21"/>
        </w:rPr>
      </w:pPr>
      <w:r>
        <w:rPr>
          <w:rFonts w:hint="eastAsia" w:ascii="宋体" w:hAnsi="宋体"/>
          <w:szCs w:val="21"/>
        </w:rPr>
        <w:t>①水泥品种应按设计要求选用，其强度等级不应低于32.5MPa级，不得使用过期或受潮结块水泥；不同品种和强度等级的水泥不得混用。</w:t>
      </w:r>
    </w:p>
    <w:p>
      <w:pPr>
        <w:spacing w:line="360" w:lineRule="auto"/>
        <w:rPr>
          <w:rFonts w:ascii="宋体" w:hAnsi="宋体"/>
          <w:szCs w:val="21"/>
        </w:rPr>
      </w:pPr>
      <w:r>
        <w:rPr>
          <w:rFonts w:hint="eastAsia" w:ascii="宋体" w:hAnsi="宋体"/>
          <w:szCs w:val="21"/>
        </w:rPr>
        <w:t>②砂宜采用中砂，粒径3mm以下含泥量不得大于1％，硫化物和硫酸盐含量不得大于1％。</w:t>
      </w:r>
    </w:p>
    <w:p>
      <w:pPr>
        <w:spacing w:line="360" w:lineRule="auto"/>
        <w:rPr>
          <w:rFonts w:ascii="宋体" w:hAnsi="宋体"/>
          <w:szCs w:val="21"/>
        </w:rPr>
      </w:pPr>
      <w:r>
        <w:rPr>
          <w:rFonts w:hint="eastAsia" w:ascii="宋体" w:hAnsi="宋体"/>
          <w:szCs w:val="21"/>
        </w:rPr>
        <w:t>③水符合《混凝土拌合用水标准》(JGJ63--89)的规定。一般饮用水，不含有害物质的天然洁净水。</w:t>
      </w:r>
    </w:p>
    <w:p>
      <w:pPr>
        <w:spacing w:line="360" w:lineRule="auto"/>
        <w:rPr>
          <w:rFonts w:ascii="宋体" w:hAnsi="宋体"/>
          <w:szCs w:val="21"/>
        </w:rPr>
      </w:pPr>
      <w:r>
        <w:rPr>
          <w:rFonts w:hint="eastAsia" w:ascii="宋体" w:hAnsi="宋体"/>
          <w:szCs w:val="21"/>
        </w:rPr>
        <w:t>④聚合物乳液的外观质量应无颗粒、异物和凝固物；固体含量大于35％。宜选用专用产品。</w:t>
      </w:r>
    </w:p>
    <w:p>
      <w:pPr>
        <w:spacing w:line="360" w:lineRule="auto"/>
        <w:rPr>
          <w:rFonts w:ascii="宋体" w:hAnsi="宋体"/>
          <w:szCs w:val="21"/>
        </w:rPr>
      </w:pPr>
      <w:r>
        <w:rPr>
          <w:rFonts w:hint="eastAsia" w:ascii="宋体" w:hAnsi="宋体"/>
          <w:szCs w:val="21"/>
        </w:rPr>
        <w:t>⑤外加剂的技术性能应符合国家或行业标准一等品及以上的质量要求。</w:t>
      </w:r>
    </w:p>
    <w:p>
      <w:pPr>
        <w:spacing w:line="360" w:lineRule="auto"/>
        <w:rPr>
          <w:rFonts w:ascii="宋体" w:hAnsi="宋体"/>
          <w:szCs w:val="21"/>
        </w:rPr>
      </w:pPr>
      <w:r>
        <w:rPr>
          <w:rFonts w:hint="eastAsia" w:ascii="宋体" w:hAnsi="宋体"/>
          <w:szCs w:val="21"/>
        </w:rPr>
        <w:t>2、整体面层施工技术要求：</w:t>
      </w:r>
    </w:p>
    <w:p>
      <w:pPr>
        <w:spacing w:line="360" w:lineRule="auto"/>
        <w:rPr>
          <w:rFonts w:ascii="宋体" w:hAnsi="宋体"/>
          <w:szCs w:val="21"/>
        </w:rPr>
      </w:pPr>
      <w:r>
        <w:rPr>
          <w:rFonts w:hint="eastAsia" w:ascii="宋体" w:hAnsi="宋体"/>
          <w:szCs w:val="21"/>
        </w:rPr>
        <w:t>(1)细石混凝土面层：根据面层水平标高线，横竖拉线，用相同配合比的细石混凝土做标筋。基层表面洒水湿润后刷一道素水泥浆，(水灰比为1：0.4~1：0.5)。刷素水泥浆与浇铺细石混凝土应相继进行，要随刷浆随浇铺。</w:t>
      </w:r>
    </w:p>
    <w:p>
      <w:pPr>
        <w:spacing w:line="360" w:lineRule="auto"/>
        <w:rPr>
          <w:rFonts w:ascii="宋体" w:hAnsi="宋体"/>
          <w:szCs w:val="21"/>
        </w:rPr>
      </w:pPr>
      <w:r>
        <w:rPr>
          <w:rFonts w:hint="eastAsia" w:ascii="宋体" w:hAnsi="宋体"/>
          <w:szCs w:val="21"/>
        </w:rPr>
        <w:t>细石混凝土按灰饼和标筋高度浇铺后，刮平，用铁抹抹平、压光。面层抹压完24h后，进行浇水养护，养护期间，面层严禁上人和使用。</w:t>
      </w:r>
    </w:p>
    <w:p>
      <w:pPr>
        <w:spacing w:line="360" w:lineRule="auto"/>
        <w:rPr>
          <w:rFonts w:ascii="宋体" w:hAnsi="宋体"/>
          <w:szCs w:val="21"/>
        </w:rPr>
      </w:pPr>
      <w:r>
        <w:rPr>
          <w:rFonts w:hint="eastAsia" w:ascii="宋体" w:hAnsi="宋体"/>
          <w:szCs w:val="21"/>
        </w:rPr>
        <w:t>(2)水泥砂浆面层：施工应在地面(楼面)的垫层做完，墙、顶抹灰做完后进行。施工前，要求预埋在地面内的各种管线已安装固定，所有孔洞已用细石混凝土灌实，地漏和排水口临时封堵以及门框安装完毕，墙面+50cm水平标高线已弹好。基层清理干净并洒水湿润。铺设水泥砂浆前，在基层上涂刷一遍素水泥浆，水灰比为l：O.4~l：O.5，随刷浆随铺面层。铺水泥砂浆，用木杠将砂浆刮平。木杠刮平后。地面压光完工24h后，洒水养护。</w:t>
      </w:r>
    </w:p>
    <w:p>
      <w:pPr>
        <w:spacing w:line="360" w:lineRule="auto"/>
        <w:rPr>
          <w:rFonts w:ascii="宋体" w:hAnsi="宋体"/>
          <w:szCs w:val="21"/>
        </w:rPr>
      </w:pPr>
      <w:r>
        <w:rPr>
          <w:rFonts w:hint="eastAsia" w:ascii="宋体" w:hAnsi="宋体"/>
          <w:szCs w:val="21"/>
        </w:rPr>
        <w:t>(3)水泥砂浆防水面层：</w:t>
      </w:r>
    </w:p>
    <w:p>
      <w:pPr>
        <w:spacing w:line="360" w:lineRule="auto"/>
        <w:rPr>
          <w:rFonts w:ascii="宋体" w:hAnsi="宋体"/>
          <w:szCs w:val="21"/>
        </w:rPr>
      </w:pPr>
      <w:r>
        <w:rPr>
          <w:rFonts w:hint="eastAsia" w:ascii="宋体" w:hAnsi="宋体"/>
          <w:szCs w:val="21"/>
        </w:rPr>
        <w:t>①分层铺抹或喷涂，铺抹时应压实、抹平．最后一层表面应提浆压光。</w:t>
      </w:r>
    </w:p>
    <w:p>
      <w:pPr>
        <w:spacing w:line="360" w:lineRule="auto"/>
        <w:rPr>
          <w:rFonts w:ascii="宋体" w:hAnsi="宋体"/>
          <w:szCs w:val="21"/>
        </w:rPr>
      </w:pPr>
      <w:r>
        <w:rPr>
          <w:rFonts w:hint="eastAsia" w:ascii="宋体" w:hAnsi="宋体"/>
          <w:szCs w:val="21"/>
        </w:rPr>
        <w:t>②防水层各层应紧密贴合，每层就尽量连续施工，必须留施工缝时应采用阶梯坡形槎，但离开阴阳角处不得小于200mm；施工缝的接茬应依层次顺序操作，层层搭接紧密。</w:t>
      </w:r>
    </w:p>
    <w:p>
      <w:pPr>
        <w:spacing w:line="360" w:lineRule="auto"/>
        <w:rPr>
          <w:rFonts w:ascii="宋体" w:hAnsi="宋体"/>
          <w:szCs w:val="21"/>
        </w:rPr>
      </w:pPr>
      <w:r>
        <w:rPr>
          <w:rFonts w:hint="eastAsia" w:ascii="宋体" w:hAnsi="宋体"/>
          <w:szCs w:val="21"/>
        </w:rPr>
        <w:t>③防水层的阴阳角处应做成圆弧形。</w:t>
      </w:r>
    </w:p>
    <w:p>
      <w:pPr>
        <w:spacing w:line="360" w:lineRule="auto"/>
        <w:rPr>
          <w:rFonts w:ascii="宋体" w:hAnsi="宋体"/>
          <w:szCs w:val="21"/>
        </w:rPr>
      </w:pPr>
      <w:r>
        <w:rPr>
          <w:rFonts w:hint="eastAsia" w:ascii="宋体" w:hAnsi="宋体"/>
          <w:szCs w:val="21"/>
        </w:rPr>
        <w:t>④水泥砂浆防水层不宜在雨天及5级以上大风中施工。冬季施工时，气温不应低于5℃，且基层表面温度应保持0℃以上。夏季施工时，掺用氯化物金属盐类防水剂的防水砂浆施工时，不应在35℃以上或烈日照射下施工。否则应采取防冻、降温、挡风、防雨等措施。</w:t>
      </w:r>
    </w:p>
    <w:p>
      <w:pPr>
        <w:spacing w:line="360" w:lineRule="auto"/>
        <w:rPr>
          <w:rFonts w:ascii="宋体" w:hAnsi="宋体"/>
          <w:szCs w:val="21"/>
        </w:rPr>
      </w:pPr>
      <w:r>
        <w:rPr>
          <w:rFonts w:hint="eastAsia" w:ascii="宋体" w:hAnsi="宋体"/>
          <w:szCs w:val="21"/>
        </w:rPr>
        <w:t>⑤为了防止离析、凝固，以保证砂浆的和易性，砂浆的最大存放时间不宜过长。聚合物水泥砂浆拌合物应在lh之内用完，且施工中不得任意加水。掺外加剂水泥砂浆防水层均需分两层敷抹，表面层要压光，总厚度不应小于20mm。</w:t>
      </w:r>
    </w:p>
    <w:p>
      <w:pPr>
        <w:spacing w:line="360" w:lineRule="auto"/>
        <w:rPr>
          <w:rFonts w:ascii="宋体" w:hAnsi="宋体"/>
          <w:szCs w:val="21"/>
        </w:rPr>
      </w:pPr>
      <w:r>
        <w:rPr>
          <w:rFonts w:hint="eastAsia" w:ascii="宋体" w:hAnsi="宋体"/>
          <w:szCs w:val="21"/>
        </w:rPr>
        <w:t>3、板块面层材料要求：硅酸盐水泥、普通硅酸盐水泥或矿渣硅酸盐水泥，其强度等级不小于32.5。硅酸盐白水泥，强度等级不小于32.5。粗砂或中砂，用时过筛，其含泥量不大于3％。熟化石灰，磨细生石灰粉熟化48h后可使用。</w:t>
      </w:r>
    </w:p>
    <w:p>
      <w:pPr>
        <w:spacing w:line="360" w:lineRule="auto"/>
        <w:rPr>
          <w:rFonts w:ascii="宋体" w:hAnsi="宋体"/>
          <w:szCs w:val="21"/>
        </w:rPr>
      </w:pPr>
      <w:r>
        <w:rPr>
          <w:rFonts w:hint="eastAsia" w:ascii="宋体" w:hAnsi="宋体"/>
          <w:szCs w:val="21"/>
        </w:rPr>
        <w:t>砖面层的表面应洁净、图案清晰，色泽一致，接缝平整,深浅一致，周边顺直。板块无裂纹、掉角和缺楞等缺陷。所用材料应有出厂合格证，强度和品种不同的板块不得混杂使用。</w:t>
      </w:r>
    </w:p>
    <w:p>
      <w:pPr>
        <w:spacing w:line="360" w:lineRule="auto"/>
        <w:rPr>
          <w:rFonts w:ascii="宋体" w:hAnsi="宋体"/>
          <w:szCs w:val="21"/>
        </w:rPr>
      </w:pPr>
      <w:r>
        <w:rPr>
          <w:rFonts w:hint="eastAsia" w:ascii="宋体" w:hAnsi="宋体"/>
          <w:szCs w:val="21"/>
        </w:rPr>
        <w:t>4、石材瓷砖施工技术要求</w:t>
      </w:r>
    </w:p>
    <w:p>
      <w:pPr>
        <w:spacing w:line="360" w:lineRule="auto"/>
        <w:rPr>
          <w:rFonts w:ascii="宋体" w:hAnsi="宋体"/>
          <w:szCs w:val="21"/>
        </w:rPr>
      </w:pPr>
      <w:r>
        <w:rPr>
          <w:rFonts w:hint="eastAsia" w:ascii="宋体" w:hAnsi="宋体"/>
          <w:szCs w:val="21"/>
        </w:rPr>
        <w:t>（1</w:t>
      </w:r>
      <w:r>
        <w:rPr>
          <w:rFonts w:ascii="宋体" w:hAnsi="宋体"/>
          <w:szCs w:val="21"/>
        </w:rPr>
        <w:t>）材料要求</w:t>
      </w:r>
    </w:p>
    <w:p>
      <w:pPr>
        <w:spacing w:line="360" w:lineRule="auto"/>
        <w:ind w:firstLine="105" w:firstLineChars="50"/>
        <w:rPr>
          <w:rFonts w:ascii="宋体" w:hAnsi="宋体"/>
          <w:szCs w:val="21"/>
        </w:rPr>
      </w:pPr>
      <w:r>
        <w:rPr>
          <w:rFonts w:hint="eastAsia" w:ascii="宋体" w:hAnsi="宋体"/>
        </w:rPr>
        <w:t xml:space="preserve">1) </w:t>
      </w:r>
      <w:r>
        <w:rPr>
          <w:rFonts w:hint="eastAsia" w:ascii="宋体" w:hAnsi="宋体"/>
          <w:szCs w:val="21"/>
        </w:rPr>
        <w:t>材料先进行选样封样，每批次材料进场均应严格“对照封样验收”，将被检板材平放在地面上，目测外观质量。</w:t>
      </w:r>
    </w:p>
    <w:p>
      <w:pPr>
        <w:spacing w:line="360" w:lineRule="auto"/>
        <w:rPr>
          <w:rFonts w:ascii="宋体" w:hAnsi="宋体"/>
          <w:szCs w:val="21"/>
        </w:rPr>
      </w:pPr>
      <w:r>
        <w:rPr>
          <w:rFonts w:hint="eastAsia" w:ascii="宋体" w:hAnsi="宋体"/>
          <w:szCs w:val="21"/>
        </w:rPr>
        <w:t>a）将被检板材平放在地面上，距板材1</w:t>
      </w:r>
      <w:r>
        <w:rPr>
          <w:rFonts w:ascii="宋体" w:hAnsi="宋体"/>
          <w:szCs w:val="21"/>
        </w:rPr>
        <w:t>.5</w:t>
      </w:r>
      <w:r>
        <w:rPr>
          <w:rFonts w:hint="eastAsia" w:ascii="宋体" w:hAnsi="宋体"/>
          <w:szCs w:val="21"/>
        </w:rPr>
        <w:t>m处明显可见的缺陷，视为有缺陷；</w:t>
      </w:r>
    </w:p>
    <w:p>
      <w:pPr>
        <w:spacing w:line="360" w:lineRule="auto"/>
        <w:rPr>
          <w:rFonts w:ascii="宋体" w:hAnsi="宋体"/>
          <w:szCs w:val="21"/>
        </w:rPr>
      </w:pPr>
      <w:r>
        <w:rPr>
          <w:rFonts w:hint="eastAsia" w:ascii="宋体" w:hAnsi="宋体"/>
          <w:szCs w:val="21"/>
        </w:rPr>
        <w:t>b）距板材1</w:t>
      </w:r>
      <w:r>
        <w:rPr>
          <w:rFonts w:ascii="宋体" w:hAnsi="宋体"/>
          <w:szCs w:val="21"/>
        </w:rPr>
        <w:t>.5</w:t>
      </w:r>
      <w:r>
        <w:rPr>
          <w:rFonts w:hint="eastAsia" w:ascii="宋体" w:hAnsi="宋体"/>
          <w:szCs w:val="21"/>
        </w:rPr>
        <w:t>m处不明显但在1m处可见的缺陷，视为无明显缺陷；</w:t>
      </w:r>
    </w:p>
    <w:p>
      <w:pPr>
        <w:spacing w:line="360" w:lineRule="auto"/>
        <w:rPr>
          <w:rFonts w:ascii="宋体" w:hAnsi="宋体"/>
          <w:szCs w:val="21"/>
        </w:rPr>
      </w:pPr>
      <w:r>
        <w:rPr>
          <w:rFonts w:hint="eastAsia" w:ascii="宋体" w:hAnsi="宋体"/>
          <w:szCs w:val="21"/>
        </w:rPr>
        <w:t>c）距板材</w:t>
      </w:r>
      <w:r>
        <w:rPr>
          <w:rFonts w:ascii="宋体" w:hAnsi="宋体"/>
          <w:szCs w:val="21"/>
        </w:rPr>
        <w:t>1m</w:t>
      </w:r>
      <w:r>
        <w:rPr>
          <w:rFonts w:hint="eastAsia" w:ascii="宋体" w:hAnsi="宋体"/>
          <w:szCs w:val="21"/>
        </w:rPr>
        <w:t>处看不见的缺陷，视为无缺陷。</w:t>
      </w:r>
    </w:p>
    <w:p>
      <w:pPr>
        <w:spacing w:line="360" w:lineRule="auto"/>
        <w:rPr>
          <w:rFonts w:ascii="宋体" w:hAnsi="宋体"/>
          <w:szCs w:val="21"/>
        </w:rPr>
      </w:pPr>
      <w:r>
        <w:rPr>
          <w:rFonts w:hint="eastAsia" w:ascii="宋体" w:hAnsi="宋体"/>
          <w:szCs w:val="21"/>
        </w:rPr>
        <w:t>2) 石材：采购时应明确石材的品种、颜色、花纹和尺寸规格及石材抗折、抗拉、抗压强度以及吸水率等性能。</w:t>
      </w:r>
    </w:p>
    <w:p>
      <w:pPr>
        <w:spacing w:line="360" w:lineRule="auto"/>
        <w:rPr>
          <w:rFonts w:ascii="宋体" w:hAnsi="宋体"/>
          <w:szCs w:val="21"/>
        </w:rPr>
      </w:pPr>
      <w:r>
        <w:rPr>
          <w:rFonts w:hint="eastAsia" w:ascii="宋体" w:hAnsi="宋体"/>
          <w:szCs w:val="21"/>
        </w:rPr>
        <w:t>3) 石材的品种、规格应符合设计要求，技术等级、光泽度、外观质量要求。所用石材都应根据排版图，在加工厂加工好成品后进行编号包装，石材进场拆包后，详细核对品种、规格、数量等是否符合设计要求，有裂纹、缺棱、掉角、翘曲和表面有缺陷时，应予剔除。石材应侧立堆放在室内、光面相对、背面垫松木条，并在板下加垫木方。</w:t>
      </w:r>
    </w:p>
    <w:p>
      <w:pPr>
        <w:spacing w:line="360" w:lineRule="auto"/>
        <w:rPr>
          <w:rFonts w:ascii="宋体" w:hAnsi="宋体"/>
          <w:szCs w:val="21"/>
        </w:rPr>
      </w:pPr>
      <w:r>
        <w:rPr>
          <w:rFonts w:hint="eastAsia" w:ascii="宋体" w:hAnsi="宋体"/>
          <w:szCs w:val="21"/>
        </w:rPr>
        <w:t>4) 每批</w:t>
      </w:r>
      <w:r>
        <w:rPr>
          <w:rFonts w:ascii="宋体" w:hAnsi="宋体"/>
          <w:szCs w:val="21"/>
        </w:rPr>
        <w:t>材料进场要满足</w:t>
      </w:r>
      <w:r>
        <w:rPr>
          <w:rFonts w:hint="eastAsia" w:ascii="宋体" w:hAnsi="宋体"/>
          <w:szCs w:val="21"/>
        </w:rPr>
        <w:t>所</w:t>
      </w:r>
      <w:r>
        <w:rPr>
          <w:rFonts w:ascii="宋体" w:hAnsi="宋体"/>
          <w:szCs w:val="21"/>
        </w:rPr>
        <w:t>限定区域的使用，不同区域不同批次的材料不</w:t>
      </w:r>
      <w:r>
        <w:rPr>
          <w:rFonts w:hint="eastAsia" w:ascii="宋体" w:hAnsi="宋体"/>
          <w:szCs w:val="21"/>
        </w:rPr>
        <w:t>允许使用。</w:t>
      </w:r>
    </w:p>
    <w:p>
      <w:pPr>
        <w:spacing w:line="360" w:lineRule="auto"/>
        <w:rPr>
          <w:rFonts w:ascii="宋体" w:hAnsi="宋体"/>
          <w:szCs w:val="21"/>
        </w:rPr>
      </w:pPr>
      <w:r>
        <w:rPr>
          <w:rFonts w:hint="eastAsia" w:ascii="宋体" w:hAnsi="宋体"/>
          <w:szCs w:val="21"/>
        </w:rPr>
        <w:t>5) 陶瓷砖：在选购瓷砖时将两块同型号的瓷砖正面相对，用普通157g铜版纸对折后插入缝隙，如果能轻松进入则瓷砖的平整度存在缺陷。</w:t>
      </w:r>
    </w:p>
    <w:p>
      <w:pPr>
        <w:spacing w:line="360" w:lineRule="auto"/>
        <w:rPr>
          <w:rFonts w:ascii="宋体" w:hAnsi="宋体"/>
          <w:szCs w:val="21"/>
        </w:rPr>
      </w:pPr>
      <w:r>
        <w:rPr>
          <w:rFonts w:hint="eastAsia" w:ascii="宋体" w:hAnsi="宋体"/>
          <w:szCs w:val="21"/>
        </w:rPr>
        <w:t>6) 地面瓷砖，吸水率E≤0.5﹪。地面石材，吸水率E≤0.5﹪</w:t>
      </w:r>
    </w:p>
    <w:p>
      <w:pPr>
        <w:spacing w:line="360" w:lineRule="auto"/>
        <w:rPr>
          <w:rFonts w:ascii="宋体" w:hAnsi="宋体"/>
          <w:szCs w:val="21"/>
        </w:rPr>
      </w:pPr>
      <w:r>
        <w:rPr>
          <w:rFonts w:hint="eastAsia" w:ascii="宋体" w:hAnsi="宋体"/>
          <w:szCs w:val="21"/>
        </w:rPr>
        <w:t>7) 地面石材应进行六面做两道油性防水处理。</w:t>
      </w:r>
    </w:p>
    <w:p>
      <w:pPr>
        <w:spacing w:line="360" w:lineRule="auto"/>
        <w:rPr>
          <w:rFonts w:ascii="宋体" w:hAnsi="宋体"/>
          <w:szCs w:val="21"/>
        </w:rPr>
      </w:pPr>
      <w:r>
        <w:rPr>
          <w:rFonts w:hint="eastAsia" w:ascii="宋体" w:hAnsi="宋体"/>
          <w:szCs w:val="21"/>
        </w:rPr>
        <w:t>8) 粘结用砂：中砂或粗砂，其含泥量不应大于3%。</w:t>
      </w:r>
    </w:p>
    <w:p>
      <w:pPr>
        <w:spacing w:line="360" w:lineRule="auto"/>
        <w:rPr>
          <w:rFonts w:ascii="宋体" w:hAnsi="宋体"/>
          <w:szCs w:val="21"/>
        </w:rPr>
      </w:pPr>
      <w:r>
        <w:rPr>
          <w:rFonts w:hint="eastAsia" w:ascii="宋体" w:hAnsi="宋体"/>
          <w:szCs w:val="21"/>
        </w:rPr>
        <w:t>9) 配制水泥砂浆应采用硅酸盐水泥、普通硅酸盐水泥或矿渣硅酸盐水泥；其水泥强度等级不宜小于32.5MPa。</w:t>
      </w:r>
    </w:p>
    <w:p>
      <w:pPr>
        <w:spacing w:line="360" w:lineRule="auto"/>
        <w:rPr>
          <w:rFonts w:ascii="宋体" w:hAnsi="宋体"/>
          <w:szCs w:val="21"/>
        </w:rPr>
      </w:pPr>
      <w:r>
        <w:rPr>
          <w:rFonts w:hint="eastAsia" w:ascii="宋体" w:hAnsi="宋体"/>
          <w:szCs w:val="21"/>
        </w:rPr>
        <w:t>10) 大理石颗粒之间有一定的空隙和染色能力，遇到有色液体，便会渗透吸收，造成板面污染，且不易被洗掉。因此在运输保管过程中，浅色大理石不宜用草绳、草帘等捆扎；在成品保护中不宜粘贴带色纸来保护成品，以免遇水或受雨淋后，受到有色液体污染。此外，还应防止酸碱类化学药品、有色液体等直接接触大理石表面造成污染。</w:t>
      </w:r>
    </w:p>
    <w:p>
      <w:pPr>
        <w:spacing w:before="120" w:beforeLines="50" w:line="360" w:lineRule="auto"/>
        <w:jc w:val="left"/>
        <w:outlineLvl w:val="2"/>
        <w:rPr>
          <w:rFonts w:ascii="宋体" w:hAnsi="宋体"/>
          <w:szCs w:val="21"/>
        </w:rPr>
      </w:pPr>
      <w:r>
        <w:rPr>
          <w:rFonts w:hint="eastAsia" w:ascii="宋体" w:hAnsi="宋体"/>
          <w:szCs w:val="21"/>
        </w:rPr>
        <w:t xml:space="preserve">(2) </w:t>
      </w:r>
      <w:r>
        <w:rPr>
          <w:rFonts w:ascii="宋体" w:hAnsi="宋体"/>
          <w:szCs w:val="21"/>
        </w:rPr>
        <w:t>施工要求</w:t>
      </w:r>
    </w:p>
    <w:p>
      <w:pPr>
        <w:spacing w:line="360" w:lineRule="auto"/>
        <w:rPr>
          <w:rFonts w:ascii="宋体" w:hAnsi="宋体"/>
          <w:szCs w:val="21"/>
        </w:rPr>
      </w:pPr>
      <w:r>
        <w:rPr>
          <w:rFonts w:hint="eastAsia" w:ascii="宋体" w:hAnsi="宋体"/>
          <w:szCs w:val="21"/>
        </w:rPr>
        <w:t>1）施工工艺流程</w:t>
      </w:r>
    </w:p>
    <w:p>
      <w:pPr>
        <w:spacing w:line="360" w:lineRule="auto"/>
        <w:rPr>
          <w:rFonts w:ascii="宋体" w:hAnsi="宋体"/>
          <w:szCs w:val="21"/>
        </w:rPr>
      </w:pPr>
      <w:r>
        <w:rPr>
          <w:rFonts w:hint="eastAsia" w:ascii="宋体" w:hAnsi="宋体"/>
          <w:szCs w:val="21"/>
        </w:rPr>
        <w:t>a）石材</w:t>
      </w:r>
    </w:p>
    <w:p>
      <w:pPr>
        <w:spacing w:line="360" w:lineRule="auto"/>
        <w:rPr>
          <w:rFonts w:ascii="宋体" w:hAnsi="宋体"/>
          <w:szCs w:val="21"/>
        </w:rPr>
      </w:pPr>
      <w:r>
        <w:rPr>
          <w:rFonts w:hint="eastAsia" w:ascii="宋体" w:hAnsi="宋体"/>
          <w:szCs w:val="21"/>
        </w:rPr>
        <w:t>基层处理→找标高、弹线→铺找平层→弹铺砖控制线→涂刷背涂→预铺→铺砖→勾缝、擦缝→养护（上道工序完成24h后，洒水养护48h）→踢脚线安装</w:t>
      </w:r>
    </w:p>
    <w:p>
      <w:pPr>
        <w:spacing w:line="360" w:lineRule="auto"/>
        <w:rPr>
          <w:rFonts w:ascii="宋体" w:hAnsi="宋体"/>
          <w:szCs w:val="21"/>
        </w:rPr>
      </w:pPr>
      <w:r>
        <w:rPr>
          <w:rFonts w:hint="eastAsia" w:ascii="宋体" w:hAnsi="宋体"/>
          <w:szCs w:val="21"/>
        </w:rPr>
        <w:t>b）地砖</w:t>
      </w:r>
    </w:p>
    <w:p>
      <w:pPr>
        <w:spacing w:line="360" w:lineRule="auto"/>
        <w:rPr>
          <w:rFonts w:ascii="宋体" w:hAnsi="宋体"/>
          <w:szCs w:val="21"/>
        </w:rPr>
      </w:pPr>
      <w:r>
        <w:rPr>
          <w:rFonts w:hint="eastAsia" w:ascii="宋体" w:hAnsi="宋体"/>
          <w:szCs w:val="21"/>
        </w:rPr>
        <w:t>基层处理→找标高、弹线→铺找平层→弹铺砖控制线→预铺→铺砖→勾缝、擦缝→养护（上道工序完成24h后，洒水养护48h）→踢脚线安装</w:t>
      </w:r>
    </w:p>
    <w:p>
      <w:pPr>
        <w:spacing w:line="360" w:lineRule="auto"/>
        <w:rPr>
          <w:rFonts w:ascii="宋体" w:hAnsi="宋体"/>
          <w:szCs w:val="21"/>
        </w:rPr>
      </w:pPr>
      <w:r>
        <w:rPr>
          <w:rFonts w:hint="eastAsia" w:ascii="宋体" w:hAnsi="宋体"/>
          <w:szCs w:val="21"/>
        </w:rPr>
        <w:t>2）操作要点</w:t>
      </w:r>
    </w:p>
    <w:p>
      <w:pPr>
        <w:spacing w:line="360" w:lineRule="auto"/>
        <w:rPr>
          <w:rFonts w:ascii="宋体" w:hAnsi="宋体"/>
          <w:szCs w:val="21"/>
        </w:rPr>
      </w:pPr>
      <w:r>
        <w:rPr>
          <w:rFonts w:hint="eastAsia" w:ascii="宋体" w:hAnsi="宋体"/>
          <w:szCs w:val="21"/>
        </w:rPr>
        <w:t>a）弹线：施工前在墙体四周弹出标高控制线，在地面弹出十字线，以控制地砖分隔尺寸。找出面层的标高控制点。</w:t>
      </w:r>
    </w:p>
    <w:p>
      <w:pPr>
        <w:spacing w:line="360" w:lineRule="auto"/>
        <w:jc w:val="center"/>
        <w:rPr>
          <w:rFonts w:ascii="宋体" w:hAnsi="宋体"/>
          <w:sz w:val="24"/>
          <w:highlight w:val="yellow"/>
        </w:rPr>
      </w:pPr>
      <w:r>
        <w:rPr>
          <w:rFonts w:ascii="宋体" w:hAnsi="宋体" w:cs="宋体"/>
          <w:kern w:val="0"/>
          <w:sz w:val="24"/>
        </w:rPr>
        <w:drawing>
          <wp:inline distT="0" distB="0" distL="0" distR="0">
            <wp:extent cx="4514850" cy="1581150"/>
            <wp:effectExtent l="19050" t="0" r="0" b="0"/>
            <wp:docPr id="237" name="图片 654" descr="I7WZFL@3NHF4_SX2OXQJY3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654" descr="I7WZFL@3NHF4_SX2OXQJY3R"/>
                    <pic:cNvPicPr>
                      <a:picLocks noChangeAspect="1" noChangeArrowheads="1"/>
                    </pic:cNvPicPr>
                  </pic:nvPicPr>
                  <pic:blipFill>
                    <a:blip r:embed="rId4"/>
                    <a:srcRect/>
                    <a:stretch>
                      <a:fillRect/>
                    </a:stretch>
                  </pic:blipFill>
                  <pic:spPr>
                    <a:xfrm>
                      <a:off x="0" y="0"/>
                      <a:ext cx="4514850" cy="1581150"/>
                    </a:xfrm>
                    <a:prstGeom prst="rect">
                      <a:avLst/>
                    </a:prstGeom>
                    <a:noFill/>
                    <a:ln w="9525">
                      <a:noFill/>
                      <a:miter lim="800000"/>
                      <a:headEnd/>
                      <a:tailEnd/>
                    </a:ln>
                  </pic:spPr>
                </pic:pic>
              </a:graphicData>
            </a:graphic>
          </wp:inline>
        </w:drawing>
      </w:r>
    </w:p>
    <w:p>
      <w:pPr>
        <w:pStyle w:val="93"/>
        <w:rPr>
          <w:rFonts w:ascii="宋体" w:hAnsi="宋体" w:eastAsia="宋体" w:cs="Times New Roman"/>
          <w:szCs w:val="21"/>
        </w:rPr>
      </w:pPr>
      <w:r>
        <w:rPr>
          <w:rFonts w:ascii="宋体" w:hAnsi="宋体" w:eastAsia="宋体" w:cs="Times New Roman"/>
          <w:szCs w:val="21"/>
        </w:rPr>
        <w:t>弹线示意图</w:t>
      </w:r>
    </w:p>
    <w:p>
      <w:pPr>
        <w:spacing w:line="360" w:lineRule="auto"/>
        <w:rPr>
          <w:rFonts w:ascii="宋体" w:hAnsi="宋体"/>
          <w:szCs w:val="21"/>
        </w:rPr>
      </w:pPr>
      <w:r>
        <w:rPr>
          <w:rFonts w:hint="eastAsia" w:ascii="宋体" w:hAnsi="宋体"/>
          <w:szCs w:val="21"/>
        </w:rPr>
        <w:t>b）楼板处有梁的地方，铺砖时两边应设置伸缩缝。</w:t>
      </w:r>
    </w:p>
    <w:p>
      <w:pPr>
        <w:spacing w:line="360" w:lineRule="auto"/>
        <w:rPr>
          <w:rFonts w:ascii="宋体" w:hAnsi="宋体"/>
          <w:szCs w:val="21"/>
        </w:rPr>
      </w:pPr>
      <w:r>
        <w:rPr>
          <w:rFonts w:hint="eastAsia" w:ascii="宋体" w:hAnsi="宋体"/>
          <w:szCs w:val="21"/>
        </w:rPr>
        <w:t>c）铺贴前，石材六面涂刷不少于2遍的背涂材料。</w:t>
      </w:r>
    </w:p>
    <w:p>
      <w:pPr>
        <w:spacing w:line="360" w:lineRule="auto"/>
        <w:rPr>
          <w:rFonts w:ascii="宋体" w:hAnsi="宋体"/>
          <w:szCs w:val="21"/>
        </w:rPr>
      </w:pPr>
      <w:r>
        <w:rPr>
          <w:rFonts w:hint="eastAsia" w:ascii="宋体" w:hAnsi="宋体"/>
          <w:szCs w:val="21"/>
        </w:rPr>
        <w:t>d）预铺：首先在图纸设计要求的基础上，对地砖的色彩、纹理、表面平整等进行严格的挑选，依据现场弹出的控制线和图纸要求进行预铺。若有半砖应设置分色带。</w:t>
      </w:r>
    </w:p>
    <w:p>
      <w:pPr>
        <w:spacing w:line="360" w:lineRule="auto"/>
        <w:rPr>
          <w:rFonts w:ascii="宋体" w:hAnsi="宋体"/>
          <w:szCs w:val="21"/>
        </w:rPr>
      </w:pPr>
      <w:r>
        <w:rPr>
          <w:rFonts w:hint="eastAsia" w:ascii="宋体" w:hAnsi="宋体"/>
          <w:szCs w:val="21"/>
        </w:rPr>
        <w:t>e</w:t>
      </w:r>
      <w:r>
        <w:rPr>
          <w:rFonts w:ascii="宋体" w:hAnsi="宋体"/>
          <w:szCs w:val="21"/>
        </w:rPr>
        <w:t>）地砖铺贴：砖缝无设计要求时一般为 1.5㎜～3㎜，铺装时要保证面层缝宽窄一致，</w:t>
      </w:r>
      <w:r>
        <w:rPr>
          <w:rFonts w:hint="eastAsia" w:ascii="宋体" w:hAnsi="宋体"/>
          <w:szCs w:val="21"/>
        </w:rPr>
        <w:t>纵横在一条线上。</w:t>
      </w:r>
    </w:p>
    <w:p>
      <w:pPr>
        <w:widowControl/>
        <w:jc w:val="center"/>
        <w:rPr>
          <w:rFonts w:ascii="宋体" w:hAnsi="宋体" w:cs="宋体"/>
          <w:kern w:val="0"/>
          <w:sz w:val="24"/>
        </w:rPr>
      </w:pPr>
      <w:r>
        <w:rPr>
          <w:rFonts w:ascii="宋体" w:hAnsi="宋体" w:cs="宋体"/>
          <w:kern w:val="0"/>
          <w:sz w:val="24"/>
        </w:rPr>
        <w:drawing>
          <wp:inline distT="0" distB="0" distL="0" distR="0">
            <wp:extent cx="2600325" cy="1524000"/>
            <wp:effectExtent l="19050" t="0" r="9525" b="0"/>
            <wp:docPr id="238" name="图片 655" descr="3]7ER~B8M}0]QMBL7_%HX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655" descr="3]7ER~B8M}0]QMBL7_%HX_C"/>
                    <pic:cNvPicPr>
                      <a:picLocks noChangeAspect="1" noChangeArrowheads="1"/>
                    </pic:cNvPicPr>
                  </pic:nvPicPr>
                  <pic:blipFill>
                    <a:blip r:embed="rId5"/>
                    <a:srcRect/>
                    <a:stretch>
                      <a:fillRect/>
                    </a:stretch>
                  </pic:blipFill>
                  <pic:spPr>
                    <a:xfrm>
                      <a:off x="0" y="0"/>
                      <a:ext cx="2600325" cy="1524000"/>
                    </a:xfrm>
                    <a:prstGeom prst="rect">
                      <a:avLst/>
                    </a:prstGeom>
                    <a:noFill/>
                    <a:ln w="9525">
                      <a:noFill/>
                      <a:miter lim="800000"/>
                      <a:headEnd/>
                      <a:tailEnd/>
                    </a:ln>
                  </pic:spPr>
                </pic:pic>
              </a:graphicData>
            </a:graphic>
          </wp:inline>
        </w:drawing>
      </w:r>
    </w:p>
    <w:p>
      <w:pPr>
        <w:pStyle w:val="93"/>
        <w:rPr>
          <w:rFonts w:ascii="宋体" w:hAnsi="宋体" w:eastAsia="宋体" w:cs="Times New Roman"/>
          <w:szCs w:val="21"/>
        </w:rPr>
      </w:pPr>
      <w:r>
        <w:rPr>
          <w:rFonts w:hint="eastAsia" w:ascii="宋体" w:hAnsi="宋体" w:eastAsia="宋体" w:cs="Times New Roman"/>
          <w:szCs w:val="21"/>
        </w:rPr>
        <w:t>使用十字架保证砖缝一致</w:t>
      </w:r>
    </w:p>
    <w:p>
      <w:pPr>
        <w:pStyle w:val="93"/>
        <w:jc w:val="left"/>
        <w:rPr>
          <w:rFonts w:ascii="宋体" w:hAnsi="宋体" w:eastAsia="宋体" w:cs="Times New Roman"/>
          <w:szCs w:val="21"/>
        </w:rPr>
      </w:pPr>
      <w:r>
        <w:rPr>
          <w:rFonts w:hint="eastAsia" w:ascii="宋体" w:hAnsi="宋体" w:eastAsia="宋体" w:cs="Times New Roman"/>
          <w:szCs w:val="21"/>
        </w:rPr>
        <w:t>f）石材铺贴：由中间开始十字铺设，再向各角延伸，小房间从里向外，按标准块拉通线，铺砌时先要进行试铺，待合适后，将石材揭起，然后在每块石板的背面在铺砌前要涂一层稀浆粘结层，然后跟线铺下，铺砌时石材四角应同时下落。</w:t>
      </w:r>
    </w:p>
    <w:p>
      <w:pPr>
        <w:spacing w:line="360" w:lineRule="auto"/>
        <w:jc w:val="center"/>
        <w:rPr>
          <w:rFonts w:ascii="宋体" w:hAnsi="宋体"/>
          <w:sz w:val="24"/>
        </w:rPr>
      </w:pPr>
      <w:r>
        <w:rPr>
          <w:rFonts w:ascii="宋体" w:hAnsi="宋体"/>
          <w:sz w:val="24"/>
        </w:rPr>
        <w:drawing>
          <wp:inline distT="0" distB="0" distL="0" distR="0">
            <wp:extent cx="5419725" cy="4038600"/>
            <wp:effectExtent l="19050" t="0" r="9525" b="0"/>
            <wp:docPr id="239" name="图片 3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31" descr="1"/>
                    <pic:cNvPicPr>
                      <a:picLocks noChangeAspect="1" noChangeArrowheads="1"/>
                    </pic:cNvPicPr>
                  </pic:nvPicPr>
                  <pic:blipFill>
                    <a:blip r:embed="rId6"/>
                    <a:srcRect/>
                    <a:stretch>
                      <a:fillRect/>
                    </a:stretch>
                  </pic:blipFill>
                  <pic:spPr>
                    <a:xfrm>
                      <a:off x="0" y="0"/>
                      <a:ext cx="5419725" cy="4038600"/>
                    </a:xfrm>
                    <a:prstGeom prst="rect">
                      <a:avLst/>
                    </a:prstGeom>
                    <a:noFill/>
                    <a:ln w="9525">
                      <a:noFill/>
                      <a:miter lim="800000"/>
                      <a:headEnd/>
                      <a:tailEnd/>
                    </a:ln>
                  </pic:spPr>
                </pic:pic>
              </a:graphicData>
            </a:graphic>
          </wp:inline>
        </w:drawing>
      </w:r>
    </w:p>
    <w:p>
      <w:pPr>
        <w:pStyle w:val="93"/>
        <w:rPr>
          <w:rFonts w:ascii="Calibri" w:hAnsi="Calibri" w:eastAsia="宋体"/>
          <w:sz w:val="24"/>
        </w:rPr>
      </w:pPr>
      <w:r>
        <w:rPr>
          <w:rFonts w:ascii="Calibri" w:hAnsi="Calibri" w:eastAsia="宋体"/>
          <w:sz w:val="24"/>
        </w:rPr>
        <w:t>标筋示意图</w:t>
      </w:r>
    </w:p>
    <w:p>
      <w:pPr>
        <w:spacing w:line="360" w:lineRule="auto"/>
        <w:rPr>
          <w:rFonts w:ascii="宋体" w:hAnsi="宋体"/>
          <w:szCs w:val="21"/>
        </w:rPr>
      </w:pPr>
      <w:r>
        <w:rPr>
          <w:rFonts w:hint="eastAsia" w:ascii="宋体" w:hAnsi="宋体"/>
          <w:szCs w:val="21"/>
        </w:rPr>
        <w:t>g）勾缝：地砖铺完24h后进行勾缝，勾缝采用1：1水泥砂浆，根据地砖的颜色调配勾缝砂浆的颜色，勾缝要饱满密实。</w:t>
      </w:r>
    </w:p>
    <w:p>
      <w:pPr>
        <w:widowControl/>
        <w:jc w:val="center"/>
        <w:rPr>
          <w:rFonts w:ascii="宋体" w:hAnsi="宋体" w:cs="宋体"/>
          <w:kern w:val="0"/>
          <w:sz w:val="24"/>
        </w:rPr>
      </w:pPr>
      <w:r>
        <w:rPr>
          <w:rFonts w:ascii="宋体" w:hAnsi="宋体" w:cs="宋体"/>
          <w:kern w:val="0"/>
          <w:sz w:val="24"/>
        </w:rPr>
        <w:drawing>
          <wp:inline distT="0" distB="0" distL="0" distR="0">
            <wp:extent cx="2409825" cy="1295400"/>
            <wp:effectExtent l="19050" t="0" r="9525" b="0"/>
            <wp:docPr id="240" name="图片 657" descr="SW%H{FKNI5X$Q@]EQ0F{~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657" descr="SW%H{FKNI5X$Q@]EQ0F{~49"/>
                    <pic:cNvPicPr>
                      <a:picLocks noChangeAspect="1" noChangeArrowheads="1"/>
                    </pic:cNvPicPr>
                  </pic:nvPicPr>
                  <pic:blipFill>
                    <a:blip r:embed="rId7"/>
                    <a:srcRect/>
                    <a:stretch>
                      <a:fillRect/>
                    </a:stretch>
                  </pic:blipFill>
                  <pic:spPr>
                    <a:xfrm>
                      <a:off x="0" y="0"/>
                      <a:ext cx="2409825" cy="1295400"/>
                    </a:xfrm>
                    <a:prstGeom prst="rect">
                      <a:avLst/>
                    </a:prstGeom>
                    <a:noFill/>
                    <a:ln w="9525">
                      <a:noFill/>
                      <a:miter lim="800000"/>
                      <a:headEnd/>
                      <a:tailEnd/>
                    </a:ln>
                  </pic:spPr>
                </pic:pic>
              </a:graphicData>
            </a:graphic>
          </wp:inline>
        </w:drawing>
      </w:r>
    </w:p>
    <w:p>
      <w:pPr>
        <w:pStyle w:val="93"/>
        <w:rPr>
          <w:rFonts w:ascii="Calibri" w:hAnsi="Calibri" w:eastAsia="宋体"/>
          <w:sz w:val="24"/>
        </w:rPr>
      </w:pPr>
      <w:r>
        <w:rPr>
          <w:rFonts w:ascii="Calibri" w:hAnsi="Calibri" w:eastAsia="宋体"/>
          <w:sz w:val="24"/>
        </w:rPr>
        <w:t>勾缝示意图</w:t>
      </w:r>
    </w:p>
    <w:p>
      <w:pPr>
        <w:spacing w:line="360" w:lineRule="auto"/>
        <w:rPr>
          <w:rFonts w:ascii="宋体" w:hAnsi="宋体"/>
          <w:szCs w:val="21"/>
        </w:rPr>
      </w:pPr>
      <w:r>
        <w:rPr>
          <w:rFonts w:hint="eastAsia" w:ascii="宋体" w:hAnsi="宋体"/>
          <w:szCs w:val="21"/>
        </w:rPr>
        <w:t>h）清理：当水泥浆凝固后再用棉纱等物对地砖表面进行清理（一般宜在12h之后）。清理完毕后用锯末养护2d～3d，当交叉作业较多时采用三合板或纸板保护。</w:t>
      </w:r>
    </w:p>
    <w:p>
      <w:pPr>
        <w:spacing w:line="360" w:lineRule="auto"/>
        <w:rPr>
          <w:rFonts w:ascii="宋体" w:hAnsi="宋体"/>
          <w:szCs w:val="21"/>
        </w:rPr>
      </w:pPr>
      <w:r>
        <w:rPr>
          <w:rFonts w:hint="eastAsia" w:ascii="宋体" w:hAnsi="宋体"/>
          <w:szCs w:val="21"/>
        </w:rPr>
        <w:t xml:space="preserve">(3)  </w:t>
      </w:r>
      <w:r>
        <w:rPr>
          <w:rFonts w:ascii="宋体" w:hAnsi="宋体"/>
          <w:szCs w:val="21"/>
        </w:rPr>
        <w:t>工程实例</w:t>
      </w:r>
    </w:p>
    <w:tbl>
      <w:tblPr>
        <w:tblStyle w:val="43"/>
        <w:tblW w:w="856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53"/>
        <w:gridCol w:w="43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00350" cy="2124075"/>
                  <wp:effectExtent l="19050" t="0" r="0" b="0"/>
                  <wp:docPr id="241" name="图片 30" descr="A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30" descr="A3-46"/>
                          <pic:cNvPicPr>
                            <a:picLocks noChangeAspect="1" noChangeArrowheads="1"/>
                          </pic:cNvPicPr>
                        </pic:nvPicPr>
                        <pic:blipFill>
                          <a:blip r:embed="rId8"/>
                          <a:srcRect/>
                          <a:stretch>
                            <a:fillRect/>
                          </a:stretch>
                        </pic:blipFill>
                        <pic:spPr>
                          <a:xfrm>
                            <a:off x="0" y="0"/>
                            <a:ext cx="2800350" cy="2124075"/>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57500" cy="2105025"/>
                  <wp:effectExtent l="19050" t="0" r="0" b="0"/>
                  <wp:docPr id="242" name="图片 29" descr="A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29" descr="A3-9"/>
                          <pic:cNvPicPr>
                            <a:picLocks noChangeAspect="1" noChangeArrowheads="1"/>
                          </pic:cNvPicPr>
                        </pic:nvPicPr>
                        <pic:blipFill>
                          <a:blip r:embed="rId9"/>
                          <a:srcRect/>
                          <a:stretch>
                            <a:fillRect/>
                          </a:stretch>
                        </pic:blipFill>
                        <pic:spPr>
                          <a:xfrm>
                            <a:off x="0" y="0"/>
                            <a:ext cx="2857500" cy="21050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28925" cy="2076450"/>
                  <wp:effectExtent l="19050" t="0" r="9525" b="0"/>
                  <wp:docPr id="243" name="图片 28" descr="踢脚线出墙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28" descr="踢脚线出墙5mm"/>
                          <pic:cNvPicPr>
                            <a:picLocks noChangeAspect="1" noChangeArrowheads="1"/>
                          </pic:cNvPicPr>
                        </pic:nvPicPr>
                        <pic:blipFill>
                          <a:blip r:embed="rId10"/>
                          <a:srcRect/>
                          <a:stretch>
                            <a:fillRect/>
                          </a:stretch>
                        </pic:blipFill>
                        <pic:spPr>
                          <a:xfrm>
                            <a:off x="0" y="0"/>
                            <a:ext cx="2828925" cy="207645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86075" cy="2057400"/>
                  <wp:effectExtent l="19050" t="0" r="9525" b="0"/>
                  <wp:docPr id="244" name="图片 27" descr="9水平段踢脚线上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7" descr="9水平段踢脚线上口"/>
                          <pic:cNvPicPr>
                            <a:picLocks noChangeAspect="1" noChangeArrowheads="1"/>
                          </pic:cNvPicPr>
                        </pic:nvPicPr>
                        <pic:blipFill>
                          <a:blip r:embed="rId11"/>
                          <a:srcRect/>
                          <a:stretch>
                            <a:fillRect/>
                          </a:stretch>
                        </pic:blipFill>
                        <pic:spPr>
                          <a:xfrm>
                            <a:off x="0" y="0"/>
                            <a:ext cx="2886075" cy="205740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rPr>
                <w:rFonts w:eastAsia="宋体"/>
              </w:rPr>
            </w:pPr>
            <w:r>
              <w:rPr>
                <w:rFonts w:hint="eastAsia"/>
              </w:rPr>
              <w:t>踢脚线笔直，出墙厚度一致，与地砖对缝整齐</w:t>
            </w:r>
          </w:p>
          <w:p>
            <w:pPr>
              <w:jc w:val="left"/>
              <w:rPr>
                <w:rFonts w:ascii="宋体" w:hAnsi="宋体"/>
                <w:szCs w:val="21"/>
              </w:rPr>
            </w:pPr>
            <w:r>
              <w:rPr>
                <w:rFonts w:ascii="宋体" w:hAnsi="宋体"/>
                <w:szCs w:val="21"/>
              </w:rPr>
              <w:t>注</w:t>
            </w:r>
            <w:r>
              <w:rPr>
                <w:rFonts w:hint="eastAsia" w:ascii="宋体" w:hAnsi="宋体"/>
                <w:szCs w:val="21"/>
              </w:rPr>
              <w:t>：</w:t>
            </w:r>
            <w:r>
              <w:rPr>
                <w:rFonts w:ascii="宋体" w:hAnsi="宋体"/>
                <w:szCs w:val="21"/>
              </w:rPr>
              <w:t>踢脚线</w:t>
            </w:r>
            <w:r>
              <w:rPr>
                <w:rFonts w:hint="eastAsia" w:ascii="宋体" w:hAnsi="宋体"/>
                <w:szCs w:val="21"/>
              </w:rPr>
              <w:t>高度一般为100㎜、石材120㎜～15</w:t>
            </w:r>
            <w:r>
              <w:rPr>
                <w:rFonts w:ascii="宋体" w:hAnsi="宋体"/>
                <w:szCs w:val="21"/>
              </w:rPr>
              <w:t>0</w:t>
            </w:r>
            <w:r>
              <w:rPr>
                <w:rFonts w:hint="eastAsia" w:ascii="宋体" w:hAnsi="宋体"/>
                <w:szCs w:val="21"/>
              </w:rPr>
              <w:t>㎜，出墙厚度一般为b≤1/10h，且不大于15㎜。</w:t>
            </w:r>
          </w:p>
          <w:p>
            <w:pPr>
              <w:jc w:val="left"/>
              <w:rPr>
                <w:rFonts w:ascii="宋体" w:hAnsi="宋体"/>
                <w:szCs w:val="21"/>
              </w:rPr>
            </w:pPr>
            <w:r>
              <w:rPr>
                <w:rFonts w:ascii="宋体" w:hAnsi="宋体"/>
                <w:szCs w:val="21"/>
              </w:rPr>
              <w:t>墙面抹灰时</w:t>
            </w:r>
            <w:r>
              <w:rPr>
                <w:rFonts w:hint="eastAsia" w:ascii="宋体" w:hAnsi="宋体"/>
                <w:szCs w:val="21"/>
              </w:rPr>
              <w:t>预留</w:t>
            </w:r>
            <w:r>
              <w:rPr>
                <w:rFonts w:ascii="宋体" w:hAnsi="宋体"/>
                <w:szCs w:val="21"/>
              </w:rPr>
              <w:t>踢脚线高度暂不抹灰</w:t>
            </w:r>
            <w:r>
              <w:rPr>
                <w:rFonts w:hint="eastAsia" w:ascii="宋体" w:hAnsi="宋体"/>
                <w:szCs w:val="21"/>
              </w:rPr>
              <w:t>→拉水平和厚度控制线→贴踢脚线（控制灰饼厚度，保证嵌入墙内）→在踢脚线砖面上贴分色纸→抹灰收口（保证踢脚线突出墙面高度一致）→涂料完成后清理面层。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2057400"/>
                  <wp:effectExtent l="19050" t="0" r="0" b="0"/>
                  <wp:docPr id="245" name="图片 26" descr="DSC_039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6" descr="DSC_0394_2"/>
                          <pic:cNvPicPr>
                            <a:picLocks noChangeAspect="1" noChangeArrowheads="1"/>
                          </pic:cNvPicPr>
                        </pic:nvPicPr>
                        <pic:blipFill>
                          <a:blip r:embed="rId12"/>
                          <a:srcRect/>
                          <a:stretch>
                            <a:fillRect/>
                          </a:stretch>
                        </pic:blipFill>
                        <pic:spPr>
                          <a:xfrm>
                            <a:off x="0" y="0"/>
                            <a:ext cx="2819400" cy="205740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905125" cy="2038350"/>
                  <wp:effectExtent l="19050" t="0" r="9525" b="0"/>
                  <wp:docPr id="246" name="图片 25" descr="石材地面-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5" descr="石材地面-03"/>
                          <pic:cNvPicPr>
                            <a:picLocks noChangeAspect="1" noChangeArrowheads="1"/>
                          </pic:cNvPicPr>
                        </pic:nvPicPr>
                        <pic:blipFill>
                          <a:blip r:embed="rId13"/>
                          <a:srcRect/>
                          <a:stretch>
                            <a:fillRect/>
                          </a:stretch>
                        </pic:blipFill>
                        <pic:spPr>
                          <a:xfrm>
                            <a:off x="0" y="0"/>
                            <a:ext cx="2905125" cy="20383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rPr>
                <w:rFonts w:hint="eastAsia"/>
              </w:rPr>
              <w:t>石材地面铺贴牢固，色泽一致，接缝严密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47975" cy="2085975"/>
                  <wp:effectExtent l="19050" t="0" r="9525" b="0"/>
                  <wp:docPr id="247" name="图片 2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 descr="4"/>
                          <pic:cNvPicPr>
                            <a:picLocks noChangeAspect="1" noChangeArrowheads="1"/>
                          </pic:cNvPicPr>
                        </pic:nvPicPr>
                        <pic:blipFill>
                          <a:blip r:embed="rId14"/>
                          <a:srcRect/>
                          <a:stretch>
                            <a:fillRect/>
                          </a:stretch>
                        </pic:blipFill>
                        <pic:spPr>
                          <a:xfrm>
                            <a:off x="0" y="0"/>
                            <a:ext cx="2847975" cy="2085975"/>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905125" cy="2076450"/>
                  <wp:effectExtent l="19050" t="0" r="9525" b="0"/>
                  <wp:docPr id="248" name="图片 23" descr="大便器周黑色转镶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3" descr="大便器周黑色转镶边"/>
                          <pic:cNvPicPr>
                            <a:picLocks noChangeAspect="1" noChangeArrowheads="1"/>
                          </pic:cNvPicPr>
                        </pic:nvPicPr>
                        <pic:blipFill>
                          <a:blip r:embed="rId15"/>
                          <a:srcRect/>
                          <a:stretch>
                            <a:fillRect/>
                          </a:stretch>
                        </pic:blipFill>
                        <pic:spPr>
                          <a:xfrm>
                            <a:off x="0" y="0"/>
                            <a:ext cx="2905125" cy="20764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pStyle w:val="93"/>
              <w:spacing w:line="240" w:lineRule="auto"/>
            </w:pPr>
            <w:r>
              <w:rPr>
                <w:rFonts w:hint="eastAsia"/>
              </w:rPr>
              <w:t>小便器居中，地砖、墙面砖对缝整齐</w:t>
            </w:r>
          </w:p>
        </w:tc>
        <w:tc>
          <w:tcPr>
            <w:tcW w:w="4308" w:type="dxa"/>
            <w:tcMar>
              <w:left w:w="28" w:type="dxa"/>
              <w:right w:w="28" w:type="dxa"/>
            </w:tcMar>
            <w:vAlign w:val="center"/>
          </w:tcPr>
          <w:p>
            <w:pPr>
              <w:pStyle w:val="93"/>
              <w:spacing w:line="240" w:lineRule="auto"/>
            </w:pPr>
            <w:r>
              <w:rPr>
                <w:rFonts w:hint="eastAsia"/>
              </w:rPr>
              <w:t>蹲便居中，周边采用分色砖过渡处理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57500" cy="2057400"/>
                  <wp:effectExtent l="19050" t="0" r="0" b="0"/>
                  <wp:docPr id="249" name="图片 22" descr="地漏-03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2" descr="地漏-03new"/>
                          <pic:cNvPicPr>
                            <a:picLocks noChangeAspect="1" noChangeArrowheads="1"/>
                          </pic:cNvPicPr>
                        </pic:nvPicPr>
                        <pic:blipFill>
                          <a:blip r:embed="rId16"/>
                          <a:srcRect/>
                          <a:stretch>
                            <a:fillRect/>
                          </a:stretch>
                        </pic:blipFill>
                        <pic:spPr>
                          <a:xfrm>
                            <a:off x="0" y="0"/>
                            <a:ext cx="2857500" cy="205740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95600" cy="1609725"/>
                  <wp:effectExtent l="19050" t="0" r="0" b="0"/>
                  <wp:docPr id="250" name="图片 21" descr="底楼修好123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1" descr="底楼修好123 拷贝"/>
                          <pic:cNvPicPr>
                            <a:picLocks noChangeAspect="1" noChangeArrowheads="1"/>
                          </pic:cNvPicPr>
                        </pic:nvPicPr>
                        <pic:blipFill>
                          <a:blip r:embed="rId17"/>
                          <a:srcRect/>
                          <a:stretch>
                            <a:fillRect/>
                          </a:stretch>
                        </pic:blipFill>
                        <pic:spPr>
                          <a:xfrm>
                            <a:off x="0" y="0"/>
                            <a:ext cx="2895600" cy="16097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t>地漏坐中</w:t>
            </w:r>
            <w:r>
              <w:rPr>
                <w:rFonts w:hint="eastAsia"/>
              </w:rPr>
              <w:t>、</w:t>
            </w:r>
            <w:r>
              <w:t>切割严密</w:t>
            </w:r>
            <w:r>
              <w:rPr>
                <w:rFonts w:hint="eastAsia"/>
              </w:rPr>
              <w:t>、坡度正确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2038350"/>
                  <wp:effectExtent l="19050" t="0" r="0" b="0"/>
                  <wp:docPr id="251" name="图片 20" descr="DSC07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0" descr="DSC07867"/>
                          <pic:cNvPicPr>
                            <a:picLocks noChangeAspect="1" noChangeArrowheads="1"/>
                          </pic:cNvPicPr>
                        </pic:nvPicPr>
                        <pic:blipFill>
                          <a:blip r:embed="rId18">
                            <a:lum bright="30000" contrast="30000"/>
                          </a:blip>
                          <a:srcRect/>
                          <a:stretch>
                            <a:fillRect/>
                          </a:stretch>
                        </pic:blipFill>
                        <pic:spPr>
                          <a:xfrm>
                            <a:off x="0" y="0"/>
                            <a:ext cx="2819400" cy="203835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38450" cy="1990725"/>
                  <wp:effectExtent l="19050" t="0" r="0" b="0"/>
                  <wp:docPr id="252" name="图片 19" descr="3卫生间门口铺贴花型过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19" descr="3卫生间门口铺贴花型过渡"/>
                          <pic:cNvPicPr>
                            <a:picLocks noChangeAspect="1" noChangeArrowheads="1"/>
                          </pic:cNvPicPr>
                        </pic:nvPicPr>
                        <pic:blipFill>
                          <a:blip r:embed="rId19"/>
                          <a:srcRect/>
                          <a:stretch>
                            <a:fillRect/>
                          </a:stretch>
                        </pic:blipFill>
                        <pic:spPr>
                          <a:xfrm>
                            <a:off x="0" y="0"/>
                            <a:ext cx="2838450" cy="19907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pStyle w:val="93"/>
              <w:spacing w:line="240" w:lineRule="auto"/>
            </w:pPr>
            <w:r>
              <w:rPr>
                <w:rFonts w:hint="eastAsia"/>
              </w:rPr>
              <w:t>小块砖处理排版</w:t>
            </w:r>
          </w:p>
        </w:tc>
        <w:tc>
          <w:tcPr>
            <w:tcW w:w="4308" w:type="dxa"/>
            <w:tcMar>
              <w:left w:w="28" w:type="dxa"/>
              <w:right w:w="28" w:type="dxa"/>
            </w:tcMar>
            <w:vAlign w:val="center"/>
          </w:tcPr>
          <w:p>
            <w:pPr>
              <w:pStyle w:val="93"/>
              <w:spacing w:line="240" w:lineRule="auto"/>
            </w:pPr>
            <w:r>
              <w:rPr>
                <w:rFonts w:hint="eastAsia"/>
              </w:rPr>
              <w:t>局部地砖分色排版过渡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47975" cy="2019300"/>
                  <wp:effectExtent l="19050" t="0" r="9525" b="0"/>
                  <wp:docPr id="253" name="图片 18" descr="弧形的走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18" descr="弧形的走廊"/>
                          <pic:cNvPicPr>
                            <a:picLocks noChangeAspect="1" noChangeArrowheads="1"/>
                          </pic:cNvPicPr>
                        </pic:nvPicPr>
                        <pic:blipFill>
                          <a:blip r:embed="rId20"/>
                          <a:srcRect/>
                          <a:stretch>
                            <a:fillRect/>
                          </a:stretch>
                        </pic:blipFill>
                        <pic:spPr>
                          <a:xfrm>
                            <a:off x="0" y="0"/>
                            <a:ext cx="2847975" cy="201930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905125" cy="2028825"/>
                  <wp:effectExtent l="19050" t="0" r="9525" b="0"/>
                  <wp:docPr id="254" name="图片 17" descr="贵州公安厅走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17" descr="贵州公安厅走廊"/>
                          <pic:cNvPicPr>
                            <a:picLocks noChangeAspect="1" noChangeArrowheads="1"/>
                          </pic:cNvPicPr>
                        </pic:nvPicPr>
                        <pic:blipFill>
                          <a:blip r:embed="rId21"/>
                          <a:srcRect/>
                          <a:stretch>
                            <a:fillRect/>
                          </a:stretch>
                        </pic:blipFill>
                        <pic:spPr>
                          <a:xfrm>
                            <a:off x="0" y="0"/>
                            <a:ext cx="2905125" cy="20288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t>分色带处理地砖排布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08" w:hRule="atLeast"/>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47975" cy="2000250"/>
                  <wp:effectExtent l="19050" t="0" r="9525" b="0"/>
                  <wp:docPr id="25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16"/>
                          <pic:cNvPicPr>
                            <a:picLocks noChangeAspect="1" noChangeArrowheads="1"/>
                          </pic:cNvPicPr>
                        </pic:nvPicPr>
                        <pic:blipFill>
                          <a:blip r:embed="rId22"/>
                          <a:srcRect/>
                          <a:stretch>
                            <a:fillRect/>
                          </a:stretch>
                        </pic:blipFill>
                        <pic:spPr>
                          <a:xfrm>
                            <a:off x="0" y="0"/>
                            <a:ext cx="2847975" cy="200025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86075" cy="2000250"/>
                  <wp:effectExtent l="19050" t="0" r="9525" b="0"/>
                  <wp:docPr id="256" name="图片 15" descr="IMG_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15" descr="IMG_1407"/>
                          <pic:cNvPicPr>
                            <a:picLocks noChangeAspect="1" noChangeArrowheads="1"/>
                          </pic:cNvPicPr>
                        </pic:nvPicPr>
                        <pic:blipFill>
                          <a:blip r:embed="rId23"/>
                          <a:srcRect/>
                          <a:stretch>
                            <a:fillRect/>
                          </a:stretch>
                        </pic:blipFill>
                        <pic:spPr>
                          <a:xfrm>
                            <a:off x="0" y="0"/>
                            <a:ext cx="2886075" cy="20002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rPr>
                <w:rFonts w:hint="eastAsia"/>
              </w:rPr>
              <w:t>墙地砖对缝整齐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1885950"/>
                  <wp:effectExtent l="19050" t="0" r="0" b="0"/>
                  <wp:docPr id="257" name="图片 14" descr="F:\电影编辑\建筑企业\歌山大厦\鲁班奖\ppt采纳\图片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14" descr="F:\电影编辑\建筑企业\歌山大厦\鲁班奖\ppt采纳\图片31.png"/>
                          <pic:cNvPicPr>
                            <a:picLocks noChangeAspect="1" noChangeArrowheads="1"/>
                          </pic:cNvPicPr>
                        </pic:nvPicPr>
                        <pic:blipFill>
                          <a:blip r:embed="rId24"/>
                          <a:srcRect/>
                          <a:stretch>
                            <a:fillRect/>
                          </a:stretch>
                        </pic:blipFill>
                        <pic:spPr>
                          <a:xfrm>
                            <a:off x="0" y="0"/>
                            <a:ext cx="2819400" cy="188595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790825" cy="1885950"/>
                  <wp:effectExtent l="19050" t="0" r="9525" b="0"/>
                  <wp:docPr id="258" name="图片 13" descr="F:\电影编辑\建筑企业\歌山大厦\鲁班奖\图片\大厦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13" descr="F:\电影编辑\建筑企业\歌山大厦\鲁班奖\图片\大厦5.png"/>
                          <pic:cNvPicPr>
                            <a:picLocks noChangeAspect="1" noChangeArrowheads="1"/>
                          </pic:cNvPicPr>
                        </pic:nvPicPr>
                        <pic:blipFill>
                          <a:blip r:embed="rId25"/>
                          <a:srcRect/>
                          <a:stretch>
                            <a:fillRect/>
                          </a:stretch>
                        </pic:blipFill>
                        <pic:spPr>
                          <a:xfrm>
                            <a:off x="0" y="0"/>
                            <a:ext cx="2790825" cy="18859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rPr>
                <w:rFonts w:hint="eastAsia"/>
              </w:rPr>
              <w:t>锯齿状坡面，弯道曲率半径协调，施工精细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28925" cy="1971675"/>
                  <wp:effectExtent l="19050" t="0" r="9525" b="0"/>
                  <wp:docPr id="259" name="图片 12" descr="保龄球馆地面拼花石材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12" descr="保龄球馆地面拼花石材1"/>
                          <pic:cNvPicPr>
                            <a:picLocks noChangeAspect="1" noChangeArrowheads="1"/>
                          </pic:cNvPicPr>
                        </pic:nvPicPr>
                        <pic:blipFill>
                          <a:blip r:embed="rId26"/>
                          <a:srcRect/>
                          <a:stretch>
                            <a:fillRect/>
                          </a:stretch>
                        </pic:blipFill>
                        <pic:spPr>
                          <a:xfrm>
                            <a:off x="0" y="0"/>
                            <a:ext cx="2828925" cy="1971675"/>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1905000"/>
                  <wp:effectExtent l="19050" t="0" r="0" b="0"/>
                  <wp:docPr id="260" name="图片 11" descr="拼花石材地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11" descr="拼花石材地面"/>
                          <pic:cNvPicPr>
                            <a:picLocks noChangeAspect="1" noChangeArrowheads="1"/>
                          </pic:cNvPicPr>
                        </pic:nvPicPr>
                        <pic:blipFill>
                          <a:blip r:embed="rId27">
                            <a:lum bright="6000" contrast="12000"/>
                          </a:blip>
                          <a:srcRect/>
                          <a:stretch>
                            <a:fillRect/>
                          </a:stretch>
                        </pic:blipFill>
                        <pic:spPr>
                          <a:xfrm>
                            <a:off x="0" y="0"/>
                            <a:ext cx="2819400" cy="190500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61" w:type="dxa"/>
            <w:gridSpan w:val="2"/>
            <w:tcMar>
              <w:left w:w="28" w:type="dxa"/>
              <w:right w:w="28" w:type="dxa"/>
            </w:tcMar>
            <w:vAlign w:val="center"/>
          </w:tcPr>
          <w:p>
            <w:pPr>
              <w:pStyle w:val="93"/>
              <w:spacing w:line="240" w:lineRule="auto"/>
            </w:pPr>
            <w:r>
              <w:rPr>
                <w:rFonts w:hint="eastAsia"/>
              </w:rPr>
              <w:t>石材拼花地面接缝严密，图案清晰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47975" cy="2019300"/>
                  <wp:effectExtent l="19050" t="0" r="9525" b="0"/>
                  <wp:docPr id="261" name="图片 10" descr="走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10" descr="走廊"/>
                          <pic:cNvPicPr>
                            <a:picLocks noChangeAspect="1" noChangeArrowheads="1"/>
                          </pic:cNvPicPr>
                        </pic:nvPicPr>
                        <pic:blipFill>
                          <a:blip r:embed="rId28"/>
                          <a:srcRect/>
                          <a:stretch>
                            <a:fillRect/>
                          </a:stretch>
                        </pic:blipFill>
                        <pic:spPr>
                          <a:xfrm>
                            <a:off x="0" y="0"/>
                            <a:ext cx="2847975" cy="2019300"/>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2028825"/>
                  <wp:effectExtent l="19050" t="0" r="0" b="0"/>
                  <wp:docPr id="262" name="图片 9" descr="IMG_0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9" descr="IMG_0150"/>
                          <pic:cNvPicPr>
                            <a:picLocks noChangeAspect="1" noChangeArrowheads="1"/>
                          </pic:cNvPicPr>
                        </pic:nvPicPr>
                        <pic:blipFill>
                          <a:blip r:embed="rId29"/>
                          <a:srcRect/>
                          <a:stretch>
                            <a:fillRect/>
                          </a:stretch>
                        </pic:blipFill>
                        <pic:spPr>
                          <a:xfrm>
                            <a:off x="0" y="0"/>
                            <a:ext cx="2819400" cy="20288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pStyle w:val="93"/>
              <w:spacing w:line="240" w:lineRule="auto"/>
            </w:pPr>
            <w:r>
              <w:t>大理石走廊分色清晰</w:t>
            </w:r>
            <w:r>
              <w:rPr>
                <w:rFonts w:hint="eastAsia"/>
              </w:rPr>
              <w:t>，</w:t>
            </w:r>
            <w:r>
              <w:t>平整美观</w:t>
            </w:r>
          </w:p>
        </w:tc>
        <w:tc>
          <w:tcPr>
            <w:tcW w:w="4308" w:type="dxa"/>
            <w:tcMar>
              <w:left w:w="28" w:type="dxa"/>
              <w:right w:w="28" w:type="dxa"/>
            </w:tcMar>
            <w:vAlign w:val="center"/>
          </w:tcPr>
          <w:p>
            <w:pPr>
              <w:pStyle w:val="93"/>
              <w:spacing w:line="240" w:lineRule="auto"/>
            </w:pPr>
            <w:r>
              <w:t>大理石地面色泽饱满</w:t>
            </w:r>
            <w:r>
              <w:rPr>
                <w:rFonts w:hint="eastAsia"/>
              </w:rPr>
              <w:t>，</w:t>
            </w:r>
            <w:r>
              <w:t>无色差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57500" cy="1933575"/>
                  <wp:effectExtent l="19050" t="0" r="0" b="0"/>
                  <wp:docPr id="26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8"/>
                          <pic:cNvPicPr>
                            <a:picLocks noChangeAspect="1" noChangeArrowheads="1"/>
                          </pic:cNvPicPr>
                        </pic:nvPicPr>
                        <pic:blipFill>
                          <a:blip r:embed="rId30"/>
                          <a:srcRect/>
                          <a:stretch>
                            <a:fillRect/>
                          </a:stretch>
                        </pic:blipFill>
                        <pic:spPr>
                          <a:xfrm>
                            <a:off x="0" y="0"/>
                            <a:ext cx="2857500" cy="1933575"/>
                          </a:xfrm>
                          <a:prstGeom prst="rect">
                            <a:avLst/>
                          </a:prstGeom>
                          <a:noFill/>
                          <a:ln w="9525">
                            <a:noFill/>
                            <a:miter lim="800000"/>
                            <a:headEnd/>
                            <a:tailEnd/>
                          </a:ln>
                        </pic:spPr>
                      </pic:pic>
                    </a:graphicData>
                  </a:graphic>
                </wp:inline>
              </w:drawing>
            </w:r>
          </w:p>
        </w:tc>
        <w:tc>
          <w:tcPr>
            <w:tcW w:w="4308"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86075" cy="1905000"/>
                  <wp:effectExtent l="19050" t="0" r="9525" b="0"/>
                  <wp:docPr id="264" name="图片 7" descr="档案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7" descr="档案室"/>
                          <pic:cNvPicPr>
                            <a:picLocks noChangeAspect="1" noChangeArrowheads="1"/>
                          </pic:cNvPicPr>
                        </pic:nvPicPr>
                        <pic:blipFill>
                          <a:blip r:embed="rId31"/>
                          <a:srcRect/>
                          <a:stretch>
                            <a:fillRect/>
                          </a:stretch>
                        </pic:blipFill>
                        <pic:spPr>
                          <a:xfrm>
                            <a:off x="0" y="0"/>
                            <a:ext cx="2886075" cy="190500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53" w:type="dxa"/>
            <w:tcMar>
              <w:left w:w="28" w:type="dxa"/>
              <w:right w:w="28" w:type="dxa"/>
            </w:tcMar>
            <w:vAlign w:val="center"/>
          </w:tcPr>
          <w:p>
            <w:pPr>
              <w:pStyle w:val="93"/>
              <w:spacing w:line="240" w:lineRule="auto"/>
            </w:pPr>
            <w:r>
              <w:rPr>
                <w:rFonts w:hint="eastAsia"/>
              </w:rPr>
              <w:t>块材地面分色自然和谐，大面平整</w:t>
            </w:r>
          </w:p>
        </w:tc>
        <w:tc>
          <w:tcPr>
            <w:tcW w:w="4308" w:type="dxa"/>
            <w:tcMar>
              <w:left w:w="28" w:type="dxa"/>
              <w:right w:w="28" w:type="dxa"/>
            </w:tcMar>
            <w:vAlign w:val="center"/>
          </w:tcPr>
          <w:p>
            <w:pPr>
              <w:pStyle w:val="93"/>
              <w:spacing w:line="240" w:lineRule="auto"/>
            </w:pPr>
            <w:r>
              <w:rPr>
                <w:rFonts w:hint="eastAsia"/>
              </w:rPr>
              <w:t>地面与吊顶对缝整齐美观</w:t>
            </w:r>
          </w:p>
        </w:tc>
      </w:tr>
    </w:tbl>
    <w:p>
      <w:pPr>
        <w:spacing w:before="120" w:beforeLines="50" w:line="360" w:lineRule="auto"/>
        <w:jc w:val="left"/>
        <w:outlineLvl w:val="2"/>
        <w:rPr>
          <w:b/>
          <w:sz w:val="24"/>
        </w:rPr>
      </w:pPr>
      <w:r>
        <w:rPr>
          <w:rFonts w:hint="eastAsia"/>
          <w:b/>
          <w:sz w:val="24"/>
        </w:rPr>
        <w:t>（4）  质量通病防治</w:t>
      </w:r>
    </w:p>
    <w:tbl>
      <w:tblPr>
        <w:tblStyle w:val="43"/>
        <w:tblW w:w="8466"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8"/>
        <w:gridCol w:w="3696"/>
        <w:gridCol w:w="3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vAlign w:val="center"/>
          </w:tcPr>
          <w:p>
            <w:pPr>
              <w:jc w:val="center"/>
              <w:rPr>
                <w:rFonts w:ascii="宋体" w:hAnsi="宋体"/>
                <w:bCs/>
              </w:rPr>
            </w:pPr>
            <w:r>
              <w:rPr>
                <w:rFonts w:hint="eastAsia" w:ascii="宋体" w:hAnsi="宋体"/>
                <w:bCs/>
              </w:rPr>
              <w:t>质量通病</w:t>
            </w:r>
          </w:p>
        </w:tc>
        <w:tc>
          <w:tcPr>
            <w:tcW w:w="3696" w:type="dxa"/>
            <w:vAlign w:val="center"/>
          </w:tcPr>
          <w:p>
            <w:pPr>
              <w:jc w:val="center"/>
              <w:rPr>
                <w:rFonts w:ascii="宋体" w:hAnsi="宋体"/>
                <w:bCs/>
              </w:rPr>
            </w:pPr>
            <w:r>
              <w:rPr>
                <w:rFonts w:ascii="宋体" w:hAnsi="宋体"/>
                <w:bCs/>
              </w:rPr>
              <w:t>通病实例图</w:t>
            </w:r>
          </w:p>
        </w:tc>
        <w:tc>
          <w:tcPr>
            <w:tcW w:w="3752" w:type="dxa"/>
            <w:vAlign w:val="center"/>
          </w:tcPr>
          <w:p>
            <w:pPr>
              <w:jc w:val="center"/>
              <w:rPr>
                <w:rFonts w:ascii="宋体" w:hAnsi="宋体"/>
                <w:bCs/>
              </w:rPr>
            </w:pPr>
            <w:r>
              <w:rPr>
                <w:rFonts w:hint="eastAsia" w:ascii="宋体" w:hAnsi="宋体"/>
                <w:bCs/>
              </w:rPr>
              <w:t>防治措施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70" w:hRule="atLeast"/>
        </w:trPr>
        <w:tc>
          <w:tcPr>
            <w:tcW w:w="1018" w:type="dxa"/>
            <w:vAlign w:val="center"/>
          </w:tcPr>
          <w:p>
            <w:pPr>
              <w:rPr>
                <w:rFonts w:ascii="宋体" w:hAnsi="宋体"/>
              </w:rPr>
            </w:pPr>
            <w:r>
              <w:rPr>
                <w:rFonts w:hint="eastAsia" w:ascii="宋体" w:hAnsi="宋体"/>
              </w:rPr>
              <w:t>板面与基层空鼓</w:t>
            </w:r>
          </w:p>
        </w:tc>
        <w:tc>
          <w:tcPr>
            <w:tcW w:w="3696" w:type="dxa"/>
            <w:vAlign w:val="center"/>
          </w:tcPr>
          <w:p>
            <w:pPr>
              <w:jc w:val="center"/>
              <w:rPr>
                <w:rFonts w:ascii="宋体" w:hAnsi="宋体"/>
              </w:rPr>
            </w:pPr>
            <w:r>
              <w:rPr>
                <w:rFonts w:ascii="宋体" w:hAnsi="宋体"/>
              </w:rPr>
              <w:drawing>
                <wp:inline distT="0" distB="0" distL="0" distR="0">
                  <wp:extent cx="2162175" cy="1152525"/>
                  <wp:effectExtent l="19050" t="0" r="9525" b="0"/>
                  <wp:docPr id="26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6"/>
                          <pic:cNvPicPr>
                            <a:picLocks noChangeAspect="1" noChangeArrowheads="1"/>
                          </pic:cNvPicPr>
                        </pic:nvPicPr>
                        <pic:blipFill>
                          <a:blip r:embed="rId32">
                            <a:lum bright="6000"/>
                          </a:blip>
                          <a:srcRect/>
                          <a:stretch>
                            <a:fillRect/>
                          </a:stretch>
                        </pic:blipFill>
                        <pic:spPr>
                          <a:xfrm>
                            <a:off x="0" y="0"/>
                            <a:ext cx="2162175" cy="1152525"/>
                          </a:xfrm>
                          <a:prstGeom prst="rect">
                            <a:avLst/>
                          </a:prstGeom>
                          <a:noFill/>
                          <a:ln w="9525">
                            <a:noFill/>
                            <a:miter lim="800000"/>
                            <a:headEnd/>
                            <a:tailEnd/>
                          </a:ln>
                        </pic:spPr>
                      </pic:pic>
                    </a:graphicData>
                  </a:graphic>
                </wp:inline>
              </w:drawing>
            </w:r>
          </w:p>
        </w:tc>
        <w:tc>
          <w:tcPr>
            <w:tcW w:w="3752" w:type="dxa"/>
            <w:vAlign w:val="center"/>
          </w:tcPr>
          <w:p>
            <w:pPr>
              <w:rPr>
                <w:rFonts w:ascii="宋体" w:hAnsi="宋体"/>
              </w:rPr>
            </w:pPr>
            <w:r>
              <w:rPr>
                <w:rFonts w:hint="eastAsia" w:ascii="宋体" w:hAnsi="宋体"/>
              </w:rPr>
              <w:t>基层应清理干净，随铺随刷一层水泥浆，大理石板块在铺砌前应浸水湿润。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vAlign w:val="center"/>
          </w:tcPr>
          <w:p>
            <w:pPr>
              <w:rPr>
                <w:rFonts w:ascii="宋体" w:hAnsi="宋体"/>
              </w:rPr>
            </w:pPr>
            <w:r>
              <w:rPr>
                <w:rFonts w:hint="eastAsia"/>
              </w:rPr>
              <w:t>接缝高低不平、宽窄不匀</w:t>
            </w:r>
          </w:p>
        </w:tc>
        <w:tc>
          <w:tcPr>
            <w:tcW w:w="3696" w:type="dxa"/>
            <w:vAlign w:val="center"/>
          </w:tcPr>
          <w:p>
            <w:pPr>
              <w:jc w:val="center"/>
              <w:rPr>
                <w:rFonts w:ascii="宋体" w:hAnsi="宋体"/>
              </w:rPr>
            </w:pPr>
            <w:r>
              <w:rPr>
                <w:rFonts w:ascii="宋体" w:hAnsi="宋体"/>
              </w:rPr>
              <w:drawing>
                <wp:inline distT="0" distB="0" distL="0" distR="0">
                  <wp:extent cx="2162175" cy="1323975"/>
                  <wp:effectExtent l="19050" t="0" r="9525" b="0"/>
                  <wp:docPr id="266" name="图片 5" descr="缝不匀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5" descr="缝不匀称"/>
                          <pic:cNvPicPr>
                            <a:picLocks noChangeAspect="1" noChangeArrowheads="1"/>
                          </pic:cNvPicPr>
                        </pic:nvPicPr>
                        <pic:blipFill>
                          <a:blip r:embed="rId33"/>
                          <a:srcRect/>
                          <a:stretch>
                            <a:fillRect/>
                          </a:stretch>
                        </pic:blipFill>
                        <pic:spPr>
                          <a:xfrm>
                            <a:off x="0" y="0"/>
                            <a:ext cx="2162175" cy="1323975"/>
                          </a:xfrm>
                          <a:prstGeom prst="rect">
                            <a:avLst/>
                          </a:prstGeom>
                          <a:noFill/>
                          <a:ln w="9525">
                            <a:noFill/>
                            <a:miter lim="800000"/>
                            <a:headEnd/>
                            <a:tailEnd/>
                          </a:ln>
                        </pic:spPr>
                      </pic:pic>
                    </a:graphicData>
                  </a:graphic>
                </wp:inline>
              </w:drawing>
            </w:r>
          </w:p>
        </w:tc>
        <w:tc>
          <w:tcPr>
            <w:tcW w:w="3752" w:type="dxa"/>
            <w:vAlign w:val="center"/>
          </w:tcPr>
          <w:p>
            <w:pPr>
              <w:numPr>
                <w:ilvl w:val="0"/>
                <w:numId w:val="5"/>
              </w:numPr>
              <w:rPr>
                <w:rFonts w:ascii="宋体" w:hAnsi="宋体"/>
              </w:rPr>
            </w:pPr>
            <w:r>
              <w:rPr>
                <w:rFonts w:hint="eastAsia" w:ascii="宋体" w:hAnsi="宋体"/>
              </w:rPr>
              <w:t>预先严格挑选板块，凡是翘曲、拱背、宽窄不方正等块材剔除不予使用。</w:t>
            </w:r>
          </w:p>
          <w:p>
            <w:pPr>
              <w:numPr>
                <w:ilvl w:val="0"/>
                <w:numId w:val="5"/>
              </w:numPr>
              <w:rPr>
                <w:rFonts w:ascii="宋体" w:hAnsi="宋体"/>
              </w:rPr>
            </w:pPr>
            <w:r>
              <w:rPr>
                <w:rFonts w:hint="eastAsia" w:ascii="宋体" w:hAnsi="宋体"/>
              </w:rPr>
              <w:t>房间内的标高线要有专人负责引入，且各房间和楼道内的标高应相通一致。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vAlign w:val="center"/>
          </w:tcPr>
          <w:p>
            <w:pPr>
              <w:rPr>
                <w:rFonts w:ascii="宋体" w:hAnsi="宋体"/>
              </w:rPr>
            </w:pPr>
            <w:r>
              <w:rPr>
                <w:rFonts w:hint="eastAsia" w:ascii="宋体" w:hAnsi="宋体"/>
              </w:rPr>
              <w:t>板缝错位，尽端出现大小头</w:t>
            </w:r>
          </w:p>
        </w:tc>
        <w:tc>
          <w:tcPr>
            <w:tcW w:w="3696" w:type="dxa"/>
            <w:vAlign w:val="center"/>
          </w:tcPr>
          <w:p>
            <w:pPr>
              <w:jc w:val="center"/>
              <w:rPr>
                <w:rFonts w:ascii="宋体" w:hAnsi="宋体"/>
              </w:rPr>
            </w:pPr>
            <w:r>
              <w:rPr>
                <w:rFonts w:ascii="宋体" w:hAnsi="宋体"/>
              </w:rPr>
              <w:drawing>
                <wp:inline distT="0" distB="0" distL="0" distR="0">
                  <wp:extent cx="2162175" cy="1323975"/>
                  <wp:effectExtent l="19050" t="0" r="9525" b="0"/>
                  <wp:docPr id="267" name="图片 4" descr="错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4" descr="错位"/>
                          <pic:cNvPicPr>
                            <a:picLocks noChangeAspect="1" noChangeArrowheads="1"/>
                          </pic:cNvPicPr>
                        </pic:nvPicPr>
                        <pic:blipFill>
                          <a:blip r:embed="rId34"/>
                          <a:srcRect/>
                          <a:stretch>
                            <a:fillRect/>
                          </a:stretch>
                        </pic:blipFill>
                        <pic:spPr>
                          <a:xfrm>
                            <a:off x="0" y="0"/>
                            <a:ext cx="2162175" cy="1323975"/>
                          </a:xfrm>
                          <a:prstGeom prst="rect">
                            <a:avLst/>
                          </a:prstGeom>
                          <a:noFill/>
                          <a:ln w="9525">
                            <a:noFill/>
                            <a:miter lim="800000"/>
                            <a:headEnd/>
                            <a:tailEnd/>
                          </a:ln>
                        </pic:spPr>
                      </pic:pic>
                    </a:graphicData>
                  </a:graphic>
                </wp:inline>
              </w:drawing>
            </w:r>
          </w:p>
        </w:tc>
        <w:tc>
          <w:tcPr>
            <w:tcW w:w="3752" w:type="dxa"/>
            <w:vAlign w:val="center"/>
          </w:tcPr>
          <w:p>
            <w:pPr>
              <w:numPr>
                <w:ilvl w:val="0"/>
                <w:numId w:val="6"/>
              </w:numPr>
              <w:rPr>
                <w:rFonts w:ascii="宋体" w:hAnsi="宋体"/>
              </w:rPr>
            </w:pPr>
            <w:r>
              <w:rPr>
                <w:rFonts w:hint="eastAsia" w:ascii="宋体" w:hAnsi="宋体"/>
              </w:rPr>
              <w:t>在地面上弹出十字中心线作为控制线，间距不大于9m。</w:t>
            </w:r>
          </w:p>
          <w:p>
            <w:pPr>
              <w:numPr>
                <w:ilvl w:val="0"/>
                <w:numId w:val="6"/>
              </w:numPr>
              <w:rPr>
                <w:rFonts w:ascii="宋体" w:hAnsi="宋体"/>
              </w:rPr>
            </w:pPr>
            <w:r>
              <w:rPr>
                <w:rFonts w:hint="eastAsia" w:ascii="宋体" w:hAnsi="宋体"/>
              </w:rPr>
              <w:t>根据已确定的砖数和缝宽，在地面上弹纵、横控制线。</w:t>
            </w:r>
          </w:p>
          <w:p>
            <w:pPr>
              <w:numPr>
                <w:ilvl w:val="0"/>
                <w:numId w:val="6"/>
              </w:numPr>
              <w:rPr>
                <w:rFonts w:ascii="宋体" w:hAnsi="宋体"/>
              </w:rPr>
            </w:pPr>
            <w:r>
              <w:rPr>
                <w:rFonts w:hint="eastAsia" w:ascii="宋体" w:hAnsi="宋体"/>
              </w:rPr>
              <w:t>预先根据设计要求和砖板规格尺寸，确定板块铺砌的缝隙宽度，当设计无规定时，紧密铺贴缝隙宽度不宜大于1㎜，虚缝铺贴缝隙宽度宜为5～10㎜。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vAlign w:val="center"/>
          </w:tcPr>
          <w:p>
            <w:pPr>
              <w:rPr>
                <w:rFonts w:ascii="宋体" w:hAnsi="宋体"/>
              </w:rPr>
            </w:pPr>
            <w:r>
              <w:rPr>
                <w:rFonts w:hint="eastAsia" w:ascii="宋体" w:hAnsi="宋体"/>
              </w:rPr>
              <w:t>踢脚板出墙厚度不一致</w:t>
            </w:r>
          </w:p>
        </w:tc>
        <w:tc>
          <w:tcPr>
            <w:tcW w:w="3696" w:type="dxa"/>
            <w:vAlign w:val="center"/>
          </w:tcPr>
          <w:p>
            <w:pPr>
              <w:jc w:val="center"/>
              <w:rPr>
                <w:rFonts w:ascii="宋体" w:hAnsi="宋体"/>
              </w:rPr>
            </w:pPr>
            <w:r>
              <w:rPr>
                <w:rFonts w:ascii="宋体" w:hAnsi="宋体"/>
              </w:rPr>
              <w:drawing>
                <wp:inline distT="0" distB="0" distL="0" distR="0">
                  <wp:extent cx="2162175" cy="1419225"/>
                  <wp:effectExtent l="19050" t="0" r="9525" b="0"/>
                  <wp:docPr id="268" name="图片 3" descr="脚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3" descr="脚线"/>
                          <pic:cNvPicPr>
                            <a:picLocks noChangeAspect="1" noChangeArrowheads="1"/>
                          </pic:cNvPicPr>
                        </pic:nvPicPr>
                        <pic:blipFill>
                          <a:blip r:embed="rId35"/>
                          <a:srcRect/>
                          <a:stretch>
                            <a:fillRect/>
                          </a:stretch>
                        </pic:blipFill>
                        <pic:spPr>
                          <a:xfrm>
                            <a:off x="0" y="0"/>
                            <a:ext cx="2162175" cy="1419225"/>
                          </a:xfrm>
                          <a:prstGeom prst="rect">
                            <a:avLst/>
                          </a:prstGeom>
                          <a:noFill/>
                          <a:ln w="9525">
                            <a:noFill/>
                            <a:miter lim="800000"/>
                            <a:headEnd/>
                            <a:tailEnd/>
                          </a:ln>
                        </pic:spPr>
                      </pic:pic>
                    </a:graphicData>
                  </a:graphic>
                </wp:inline>
              </w:drawing>
            </w:r>
          </w:p>
        </w:tc>
        <w:tc>
          <w:tcPr>
            <w:tcW w:w="3752" w:type="dxa"/>
            <w:vAlign w:val="center"/>
          </w:tcPr>
          <w:p>
            <w:pPr>
              <w:rPr>
                <w:rFonts w:ascii="宋体" w:hAnsi="宋体"/>
              </w:rPr>
            </w:pPr>
            <w:r>
              <w:rPr>
                <w:rFonts w:hint="eastAsia" w:ascii="宋体" w:hAnsi="宋体"/>
              </w:rPr>
              <w:t>在镶贴踢脚板时，应要拉线加以控制。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vAlign w:val="center"/>
          </w:tcPr>
          <w:p>
            <w:pPr>
              <w:rPr>
                <w:rFonts w:ascii="宋体" w:hAnsi="宋体"/>
              </w:rPr>
            </w:pPr>
            <w:r>
              <w:rPr>
                <w:rFonts w:hint="eastAsia" w:ascii="宋体" w:hAnsi="宋体"/>
              </w:rPr>
              <w:t>地砖拱起、开裂</w:t>
            </w:r>
          </w:p>
        </w:tc>
        <w:tc>
          <w:tcPr>
            <w:tcW w:w="3696" w:type="dxa"/>
            <w:vAlign w:val="center"/>
          </w:tcPr>
          <w:p>
            <w:pPr>
              <w:jc w:val="center"/>
              <w:rPr>
                <w:rFonts w:ascii="宋体" w:hAnsi="宋体"/>
              </w:rPr>
            </w:pPr>
            <w:r>
              <w:rPr>
                <w:rFonts w:ascii="宋体" w:hAnsi="宋体"/>
              </w:rPr>
              <w:drawing>
                <wp:inline distT="0" distB="0" distL="0" distR="0">
                  <wp:extent cx="2190750" cy="1219200"/>
                  <wp:effectExtent l="19050" t="0" r="0" b="0"/>
                  <wp:docPr id="269" name="图片 2" descr="地板砖起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 descr="地板砖起鼓"/>
                          <pic:cNvPicPr>
                            <a:picLocks noChangeAspect="1" noChangeArrowheads="1"/>
                          </pic:cNvPicPr>
                        </pic:nvPicPr>
                        <pic:blipFill>
                          <a:blip r:embed="rId36"/>
                          <a:srcRect/>
                          <a:stretch>
                            <a:fillRect/>
                          </a:stretch>
                        </pic:blipFill>
                        <pic:spPr>
                          <a:xfrm>
                            <a:off x="0" y="0"/>
                            <a:ext cx="2190750" cy="1219200"/>
                          </a:xfrm>
                          <a:prstGeom prst="rect">
                            <a:avLst/>
                          </a:prstGeom>
                          <a:noFill/>
                          <a:ln w="9525">
                            <a:noFill/>
                            <a:miter lim="800000"/>
                            <a:headEnd/>
                            <a:tailEnd/>
                          </a:ln>
                        </pic:spPr>
                      </pic:pic>
                    </a:graphicData>
                  </a:graphic>
                </wp:inline>
              </w:drawing>
            </w:r>
          </w:p>
          <w:p>
            <w:pPr>
              <w:jc w:val="center"/>
              <w:rPr>
                <w:rFonts w:ascii="宋体" w:hAnsi="宋体"/>
              </w:rPr>
            </w:pPr>
            <w:r>
              <w:rPr>
                <w:rFonts w:ascii="宋体" w:hAnsi="宋体"/>
              </w:rPr>
              <w:drawing>
                <wp:inline distT="0" distB="0" distL="0" distR="0">
                  <wp:extent cx="2162175" cy="1381125"/>
                  <wp:effectExtent l="19050" t="0" r="9525" b="0"/>
                  <wp:docPr id="270" name="图片 1" descr="4单元大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1" descr="4单元大厅"/>
                          <pic:cNvPicPr>
                            <a:picLocks noChangeAspect="1" noChangeArrowheads="1"/>
                          </pic:cNvPicPr>
                        </pic:nvPicPr>
                        <pic:blipFill>
                          <a:blip r:embed="rId37"/>
                          <a:srcRect/>
                          <a:stretch>
                            <a:fillRect/>
                          </a:stretch>
                        </pic:blipFill>
                        <pic:spPr>
                          <a:xfrm>
                            <a:off x="0" y="0"/>
                            <a:ext cx="2162175" cy="1381125"/>
                          </a:xfrm>
                          <a:prstGeom prst="rect">
                            <a:avLst/>
                          </a:prstGeom>
                          <a:noFill/>
                          <a:ln w="9525">
                            <a:noFill/>
                            <a:miter lim="800000"/>
                            <a:headEnd/>
                            <a:tailEnd/>
                          </a:ln>
                        </pic:spPr>
                      </pic:pic>
                    </a:graphicData>
                  </a:graphic>
                </wp:inline>
              </w:drawing>
            </w:r>
          </w:p>
        </w:tc>
        <w:tc>
          <w:tcPr>
            <w:tcW w:w="3752" w:type="dxa"/>
            <w:vAlign w:val="center"/>
          </w:tcPr>
          <w:p>
            <w:pPr>
              <w:numPr>
                <w:ilvl w:val="0"/>
                <w:numId w:val="7"/>
              </w:numPr>
              <w:rPr>
                <w:rFonts w:ascii="宋体" w:hAnsi="宋体"/>
              </w:rPr>
            </w:pPr>
            <w:r>
              <w:rPr>
                <w:rFonts w:hint="eastAsia" w:ascii="宋体" w:hAnsi="宋体"/>
              </w:rPr>
              <w:t>铺设地板砖时最好选择高于10℃以上室温，避开气温过高过低时段。</w:t>
            </w:r>
          </w:p>
          <w:p>
            <w:pPr>
              <w:numPr>
                <w:ilvl w:val="0"/>
                <w:numId w:val="7"/>
              </w:numPr>
              <w:rPr>
                <w:rFonts w:ascii="宋体" w:hAnsi="宋体"/>
              </w:rPr>
            </w:pPr>
            <w:r>
              <w:rPr>
                <w:rFonts w:hint="eastAsia" w:ascii="宋体" w:hAnsi="宋体"/>
              </w:rPr>
              <w:t>铺设前先将基层清理干净，清扫浮灰、砂浆、杂物。</w:t>
            </w:r>
          </w:p>
          <w:p>
            <w:pPr>
              <w:numPr>
                <w:ilvl w:val="0"/>
                <w:numId w:val="7"/>
              </w:numPr>
              <w:rPr>
                <w:rFonts w:ascii="宋体" w:hAnsi="宋体"/>
              </w:rPr>
            </w:pPr>
            <w:r>
              <w:rPr>
                <w:rFonts w:hint="eastAsia" w:ascii="宋体" w:hAnsi="宋体"/>
              </w:rPr>
              <w:t>铺砖前需要浸泡的地板砖应用清水浸泡2～3h以上、阴干、再铺。</w:t>
            </w:r>
          </w:p>
          <w:p>
            <w:pPr>
              <w:numPr>
                <w:ilvl w:val="0"/>
                <w:numId w:val="7"/>
              </w:numPr>
              <w:rPr>
                <w:rFonts w:ascii="宋体" w:hAnsi="宋体"/>
              </w:rPr>
            </w:pPr>
            <w:r>
              <w:rPr>
                <w:rFonts w:hint="eastAsia" w:ascii="宋体" w:hAnsi="宋体"/>
              </w:rPr>
              <w:t>铺贴地板砖要从中心向四周扩展，与墙体之间留有足够缝隙。</w:t>
            </w:r>
          </w:p>
          <w:p>
            <w:pPr>
              <w:numPr>
                <w:ilvl w:val="0"/>
                <w:numId w:val="7"/>
              </w:numPr>
              <w:rPr>
                <w:rFonts w:ascii="宋体" w:hAnsi="宋体"/>
              </w:rPr>
            </w:pPr>
            <w:r>
              <w:rPr>
                <w:rFonts w:hint="eastAsia" w:ascii="宋体" w:hAnsi="宋体"/>
              </w:rPr>
              <w:t>地板砖铺贴完毕，不要急于上人走动，更不能在上面推车，避免囚砂浆未凝固而造成地板砖松动。</w:t>
            </w:r>
          </w:p>
        </w:tc>
      </w:tr>
    </w:tbl>
    <w:p>
      <w:pPr>
        <w:spacing w:line="360" w:lineRule="auto"/>
        <w:ind w:firstLine="120" w:firstLineChars="50"/>
        <w:rPr>
          <w:sz w:val="24"/>
        </w:rPr>
      </w:pPr>
      <w:r>
        <w:rPr>
          <w:rFonts w:hint="eastAsia"/>
          <w:sz w:val="24"/>
        </w:rPr>
        <w:t>（5）  验收要求</w:t>
      </w:r>
    </w:p>
    <w:p>
      <w:pPr>
        <w:spacing w:before="120" w:beforeLines="50" w:line="360" w:lineRule="auto"/>
        <w:ind w:firstLine="352" w:firstLineChars="147"/>
        <w:jc w:val="left"/>
        <w:outlineLvl w:val="2"/>
        <w:rPr>
          <w:b/>
          <w:sz w:val="24"/>
        </w:rPr>
      </w:pPr>
      <w:r>
        <w:rPr>
          <w:rFonts w:hint="eastAsia"/>
          <w:sz w:val="24"/>
        </w:rPr>
        <w:t>1）  贴砖应按照设计的要求进行排版铺贴。</w:t>
      </w:r>
    </w:p>
    <w:p>
      <w:pPr>
        <w:spacing w:line="360" w:lineRule="auto"/>
        <w:ind w:firstLine="360" w:firstLineChars="150"/>
        <w:rPr>
          <w:sz w:val="24"/>
        </w:rPr>
      </w:pPr>
      <w:r>
        <w:rPr>
          <w:sz w:val="24"/>
        </w:rPr>
        <w:t>2</w:t>
      </w:r>
      <w:r>
        <w:rPr>
          <w:rFonts w:hint="eastAsia"/>
          <w:sz w:val="24"/>
        </w:rPr>
        <w:t>）  执行相关国家及行业标准规范要求</w:t>
      </w:r>
      <w:r>
        <w:rPr>
          <w:rFonts w:hint="eastAsia" w:hAnsi="宋体"/>
          <w:sz w:val="24"/>
        </w:rPr>
        <w:t>，以及本《指引》的相关要求</w:t>
      </w:r>
      <w:r>
        <w:rPr>
          <w:rFonts w:hint="eastAsia"/>
          <w:sz w:val="24"/>
        </w:rPr>
        <w:t>。</w:t>
      </w:r>
    </w:p>
    <w:p>
      <w:pPr>
        <w:spacing w:line="360" w:lineRule="auto"/>
        <w:ind w:firstLine="361" w:firstLineChars="150"/>
        <w:rPr>
          <w:b/>
          <w:sz w:val="24"/>
        </w:rPr>
      </w:pPr>
      <w:r>
        <w:rPr>
          <w:rFonts w:hint="eastAsia"/>
          <w:b/>
          <w:sz w:val="24"/>
        </w:rPr>
        <w:t>5、</w:t>
      </w:r>
      <w:bookmarkStart w:id="0" w:name="_Toc398730219"/>
      <w:r>
        <w:rPr>
          <w:b/>
          <w:sz w:val="24"/>
        </w:rPr>
        <w:t xml:space="preserve"> </w:t>
      </w:r>
      <w:r>
        <w:rPr>
          <w:rFonts w:hint="eastAsia"/>
          <w:b/>
          <w:sz w:val="24"/>
        </w:rPr>
        <w:t xml:space="preserve"> 环氧地面和环氧自流平地面</w:t>
      </w:r>
      <w:bookmarkEnd w:id="0"/>
    </w:p>
    <w:p>
      <w:pPr>
        <w:spacing w:before="120" w:beforeLines="50" w:line="360" w:lineRule="auto"/>
        <w:ind w:firstLine="240" w:firstLineChars="100"/>
        <w:jc w:val="left"/>
        <w:outlineLvl w:val="2"/>
        <w:rPr>
          <w:sz w:val="24"/>
        </w:rPr>
      </w:pPr>
      <w:r>
        <w:rPr>
          <w:rFonts w:hint="eastAsia"/>
          <w:sz w:val="24"/>
        </w:rPr>
        <w:t xml:space="preserve">（1） </w:t>
      </w:r>
      <w:r>
        <w:rPr>
          <w:sz w:val="24"/>
        </w:rPr>
        <w:t>材料要求</w:t>
      </w:r>
    </w:p>
    <w:p>
      <w:pPr>
        <w:spacing w:line="360" w:lineRule="auto"/>
        <w:ind w:firstLine="360" w:firstLineChars="150"/>
        <w:rPr>
          <w:sz w:val="24"/>
        </w:rPr>
      </w:pPr>
      <w:r>
        <w:rPr>
          <w:rFonts w:hint="eastAsia"/>
          <w:sz w:val="24"/>
        </w:rPr>
        <w:t>1）  涂料及稀料按照国家规定的技术标准进行，应有完好包装，表明生产厂家，生产日期和有效期，应有出厂合格证，使用说明书和质量检查报告。</w:t>
      </w:r>
    </w:p>
    <w:p>
      <w:pPr>
        <w:spacing w:line="360" w:lineRule="auto"/>
        <w:ind w:firstLine="360" w:firstLineChars="150"/>
        <w:rPr>
          <w:sz w:val="24"/>
        </w:rPr>
      </w:pPr>
      <w:r>
        <w:rPr>
          <w:sz w:val="24"/>
        </w:rPr>
        <w:t>2</w:t>
      </w:r>
      <w:r>
        <w:rPr>
          <w:rFonts w:hint="eastAsia"/>
          <w:sz w:val="24"/>
        </w:rPr>
        <w:t xml:space="preserve">）  </w:t>
      </w:r>
      <w:r>
        <w:rPr>
          <w:sz w:val="24"/>
        </w:rPr>
        <w:t>进行材料选样封样，每批材料进场前都应以样品</w:t>
      </w:r>
      <w:r>
        <w:rPr>
          <w:rFonts w:hint="eastAsia"/>
          <w:sz w:val="24"/>
        </w:rPr>
        <w:t>选材</w:t>
      </w:r>
      <w:r>
        <w:rPr>
          <w:sz w:val="24"/>
        </w:rPr>
        <w:t>送检。</w:t>
      </w:r>
    </w:p>
    <w:p>
      <w:pPr>
        <w:spacing w:line="360" w:lineRule="auto"/>
        <w:ind w:firstLine="360" w:firstLineChars="150"/>
        <w:rPr>
          <w:sz w:val="24"/>
        </w:rPr>
      </w:pPr>
      <w:r>
        <w:rPr>
          <w:sz w:val="24"/>
        </w:rPr>
        <w:t>3</w:t>
      </w:r>
      <w:r>
        <w:rPr>
          <w:rFonts w:hint="eastAsia"/>
          <w:sz w:val="24"/>
        </w:rPr>
        <w:t>）  每批</w:t>
      </w:r>
      <w:r>
        <w:rPr>
          <w:sz w:val="24"/>
        </w:rPr>
        <w:t>材料进场要满足</w:t>
      </w:r>
      <w:r>
        <w:rPr>
          <w:rFonts w:hint="eastAsia"/>
          <w:sz w:val="24"/>
        </w:rPr>
        <w:t>所</w:t>
      </w:r>
      <w:r>
        <w:rPr>
          <w:sz w:val="24"/>
        </w:rPr>
        <w:t>限定区域的使用，不同区域不同批次的材料不</w:t>
      </w:r>
      <w:r>
        <w:rPr>
          <w:rFonts w:hint="eastAsia"/>
          <w:sz w:val="24"/>
        </w:rPr>
        <w:t>允许使用。</w:t>
      </w:r>
    </w:p>
    <w:p>
      <w:pPr>
        <w:spacing w:line="360" w:lineRule="auto"/>
        <w:ind w:firstLine="360" w:firstLineChars="150"/>
        <w:rPr>
          <w:sz w:val="24"/>
        </w:rPr>
      </w:pPr>
      <w:r>
        <w:rPr>
          <w:sz w:val="24"/>
        </w:rPr>
        <w:t>4</w:t>
      </w:r>
      <w:r>
        <w:rPr>
          <w:rFonts w:hint="eastAsia"/>
          <w:sz w:val="24"/>
        </w:rPr>
        <w:t>）  将所选的地坪材料作适用性试验，并对防腐层性能进行检测。性能检查各项指标满足施工要求后，报审监理审查确认合格后，方可投入使用。</w:t>
      </w:r>
    </w:p>
    <w:p>
      <w:pPr>
        <w:spacing w:line="360" w:lineRule="auto"/>
        <w:ind w:firstLine="360" w:firstLineChars="150"/>
        <w:rPr>
          <w:sz w:val="24"/>
        </w:rPr>
      </w:pPr>
      <w:r>
        <w:rPr>
          <w:sz w:val="24"/>
        </w:rPr>
        <w:t>5</w:t>
      </w:r>
      <w:r>
        <w:rPr>
          <w:rFonts w:hint="eastAsia"/>
          <w:sz w:val="24"/>
        </w:rPr>
        <w:t>）  涂料、固化剂、稀释剂等材料应密封储存在阴凉干燥的仓库内，并应防火。</w:t>
      </w:r>
    </w:p>
    <w:p>
      <w:pPr>
        <w:spacing w:line="360" w:lineRule="auto"/>
        <w:ind w:firstLine="360" w:firstLineChars="150"/>
        <w:rPr>
          <w:sz w:val="24"/>
        </w:rPr>
      </w:pPr>
      <w:r>
        <w:rPr>
          <w:rFonts w:hint="eastAsia"/>
          <w:sz w:val="24"/>
        </w:rPr>
        <w:t>6)   宿舍的环氧地面需满足E1级环保标准。</w:t>
      </w:r>
    </w:p>
    <w:p>
      <w:pPr>
        <w:spacing w:before="120" w:beforeLines="50" w:line="360" w:lineRule="auto"/>
        <w:ind w:firstLine="240" w:firstLineChars="100"/>
        <w:jc w:val="left"/>
        <w:outlineLvl w:val="2"/>
        <w:rPr>
          <w:sz w:val="24"/>
        </w:rPr>
      </w:pPr>
      <w:r>
        <w:rPr>
          <w:rFonts w:hint="eastAsia"/>
          <w:sz w:val="24"/>
        </w:rPr>
        <w:t xml:space="preserve">（2）  </w:t>
      </w:r>
      <w:r>
        <w:rPr>
          <w:sz w:val="24"/>
        </w:rPr>
        <w:t>施工要求</w:t>
      </w:r>
    </w:p>
    <w:p>
      <w:pPr>
        <w:spacing w:line="360" w:lineRule="auto"/>
        <w:ind w:firstLine="480" w:firstLineChars="200"/>
        <w:rPr>
          <w:sz w:val="24"/>
        </w:rPr>
      </w:pPr>
      <w:r>
        <w:rPr>
          <w:rFonts w:hint="eastAsia"/>
          <w:sz w:val="24"/>
        </w:rPr>
        <w:t>1） 施工工艺</w:t>
      </w:r>
    </w:p>
    <w:p>
      <w:pPr>
        <w:spacing w:line="360" w:lineRule="auto"/>
        <w:ind w:firstLine="480" w:firstLineChars="200"/>
        <w:rPr>
          <w:sz w:val="24"/>
        </w:rPr>
      </w:pPr>
      <w:r>
        <w:rPr>
          <w:rFonts w:hint="eastAsia"/>
          <w:sz w:val="24"/>
        </w:rPr>
        <w:t>a）环氧地面</w:t>
      </w:r>
    </w:p>
    <w:p>
      <w:pPr>
        <w:spacing w:line="360" w:lineRule="auto"/>
        <w:ind w:firstLine="480" w:firstLineChars="200"/>
        <w:rPr>
          <w:sz w:val="24"/>
        </w:rPr>
      </w:pPr>
      <w:r>
        <w:rPr>
          <w:sz w:val="24"/>
        </w:rPr>
        <w:t>基层处理</w:t>
      </w:r>
      <w:r>
        <w:rPr>
          <w:rFonts w:hint="eastAsia"/>
          <w:sz w:val="24"/>
        </w:rPr>
        <w:t>→涂刷底涂（5个小时后方可进入下一道工序）→</w:t>
      </w:r>
      <w:r>
        <w:rPr>
          <w:sz w:val="24"/>
        </w:rPr>
        <w:t>中涂层</w:t>
      </w:r>
      <w:r>
        <w:rPr>
          <w:rFonts w:hint="eastAsia"/>
          <w:sz w:val="24"/>
        </w:rPr>
        <w:t>（</w:t>
      </w:r>
      <w:r>
        <w:rPr>
          <w:sz w:val="24"/>
        </w:rPr>
        <w:t>6</w:t>
      </w:r>
      <w:r>
        <w:rPr>
          <w:rFonts w:hint="eastAsia"/>
          <w:sz w:val="24"/>
        </w:rPr>
        <w:t>个小时后方可进入下一道工序）</w:t>
      </w:r>
      <w:r>
        <w:rPr>
          <w:sz w:val="24"/>
        </w:rPr>
        <w:t>→批</w:t>
      </w:r>
      <w:r>
        <w:rPr>
          <w:rFonts w:hint="eastAsia"/>
          <w:sz w:val="24"/>
        </w:rPr>
        <w:t>补</w:t>
      </w:r>
      <w:r>
        <w:rPr>
          <w:sz w:val="24"/>
        </w:rPr>
        <w:t>层</w:t>
      </w:r>
      <w:r>
        <w:rPr>
          <w:rFonts w:hint="eastAsia"/>
          <w:sz w:val="24"/>
        </w:rPr>
        <w:t>（</w:t>
      </w:r>
      <w:r>
        <w:rPr>
          <w:sz w:val="24"/>
        </w:rPr>
        <w:t>4</w:t>
      </w:r>
      <w:r>
        <w:rPr>
          <w:rFonts w:hint="eastAsia"/>
          <w:sz w:val="24"/>
        </w:rPr>
        <w:t>个小时后方可进入下一道工序）</w:t>
      </w:r>
      <w:r>
        <w:rPr>
          <w:sz w:val="24"/>
        </w:rPr>
        <w:t>→</w:t>
      </w:r>
      <w:r>
        <w:rPr>
          <w:rFonts w:hint="eastAsia"/>
          <w:sz w:val="24"/>
        </w:rPr>
        <w:t>刮涂面层→专用滚筒消泡（在20分钟内）→养护（</w:t>
      </w:r>
      <w:r>
        <w:rPr>
          <w:sz w:val="24"/>
        </w:rPr>
        <w:t>6</w:t>
      </w:r>
      <w:r>
        <w:rPr>
          <w:rFonts w:hint="eastAsia"/>
          <w:sz w:val="24"/>
        </w:rPr>
        <w:t>个小时后方可上人）</w:t>
      </w:r>
    </w:p>
    <w:p>
      <w:pPr>
        <w:spacing w:line="360" w:lineRule="auto"/>
        <w:ind w:firstLine="480" w:firstLineChars="200"/>
        <w:rPr>
          <w:sz w:val="24"/>
        </w:rPr>
      </w:pPr>
      <w:r>
        <w:rPr>
          <w:rFonts w:hint="eastAsia"/>
          <w:sz w:val="24"/>
        </w:rPr>
        <w:t>b）环氧自流平地面</w:t>
      </w:r>
    </w:p>
    <w:p>
      <w:pPr>
        <w:spacing w:line="360" w:lineRule="auto"/>
        <w:ind w:firstLine="480" w:firstLineChars="200"/>
        <w:rPr>
          <w:sz w:val="24"/>
        </w:rPr>
      </w:pPr>
      <w:r>
        <w:rPr>
          <w:sz w:val="24"/>
        </w:rPr>
        <w:t>基层处理</w:t>
      </w:r>
      <w:r>
        <w:rPr>
          <w:rFonts w:hint="eastAsia"/>
          <w:sz w:val="24"/>
        </w:rPr>
        <w:t>→涂刷底涂（</w:t>
      </w:r>
      <w:r>
        <w:rPr>
          <w:sz w:val="24"/>
        </w:rPr>
        <w:t>8</w:t>
      </w:r>
      <w:r>
        <w:rPr>
          <w:rFonts w:hint="eastAsia"/>
          <w:sz w:val="24"/>
        </w:rPr>
        <w:t>个小时后方可进入下一道工序）→</w:t>
      </w:r>
      <w:r>
        <w:rPr>
          <w:sz w:val="24"/>
        </w:rPr>
        <w:t>中涂层</w:t>
      </w:r>
      <w:r>
        <w:rPr>
          <w:rFonts w:hint="eastAsia"/>
          <w:sz w:val="24"/>
        </w:rPr>
        <w:t>（</w:t>
      </w:r>
      <w:r>
        <w:rPr>
          <w:sz w:val="24"/>
        </w:rPr>
        <w:t>8</w:t>
      </w:r>
      <w:r>
        <w:rPr>
          <w:rFonts w:hint="eastAsia"/>
          <w:sz w:val="24"/>
        </w:rPr>
        <w:t>个小时后方可进入下一道工序）</w:t>
      </w:r>
      <w:r>
        <w:rPr>
          <w:sz w:val="24"/>
        </w:rPr>
        <w:t>→批</w:t>
      </w:r>
      <w:r>
        <w:rPr>
          <w:rFonts w:hint="eastAsia"/>
          <w:sz w:val="24"/>
        </w:rPr>
        <w:t>补</w:t>
      </w:r>
      <w:r>
        <w:rPr>
          <w:sz w:val="24"/>
        </w:rPr>
        <w:t>层</w:t>
      </w:r>
      <w:r>
        <w:rPr>
          <w:rFonts w:hint="eastAsia"/>
          <w:sz w:val="24"/>
        </w:rPr>
        <w:t>（</w:t>
      </w:r>
      <w:r>
        <w:rPr>
          <w:sz w:val="24"/>
        </w:rPr>
        <w:t>8</w:t>
      </w:r>
      <w:r>
        <w:rPr>
          <w:rFonts w:hint="eastAsia"/>
          <w:sz w:val="24"/>
        </w:rPr>
        <w:t>个小时后方可进入下一道工序）</w:t>
      </w:r>
      <w:r>
        <w:rPr>
          <w:sz w:val="24"/>
        </w:rPr>
        <w:t>→</w:t>
      </w:r>
      <w:r>
        <w:rPr>
          <w:rFonts w:hint="eastAsia"/>
          <w:sz w:val="24"/>
        </w:rPr>
        <w:t>刮涂面层→专用滚筒消泡（在20分钟内）→养护（</w:t>
      </w:r>
      <w:r>
        <w:rPr>
          <w:sz w:val="24"/>
        </w:rPr>
        <w:t>8</w:t>
      </w:r>
      <w:r>
        <w:rPr>
          <w:rFonts w:hint="eastAsia"/>
          <w:sz w:val="24"/>
        </w:rPr>
        <w:t>个小时后方可上人）</w:t>
      </w:r>
    </w:p>
    <w:p>
      <w:pPr>
        <w:spacing w:before="120" w:beforeLines="50" w:line="360" w:lineRule="auto"/>
        <w:ind w:firstLine="240" w:firstLineChars="100"/>
        <w:jc w:val="left"/>
        <w:outlineLvl w:val="2"/>
        <w:rPr>
          <w:sz w:val="24"/>
        </w:rPr>
      </w:pPr>
      <w:r>
        <w:rPr>
          <w:rFonts w:hint="eastAsia"/>
          <w:sz w:val="24"/>
        </w:rPr>
        <w:t>(2)  施工要点</w:t>
      </w:r>
    </w:p>
    <w:p>
      <w:pPr>
        <w:spacing w:line="360" w:lineRule="auto"/>
        <w:ind w:firstLine="240" w:firstLineChars="100"/>
        <w:rPr>
          <w:sz w:val="24"/>
        </w:rPr>
      </w:pPr>
      <w:r>
        <w:rPr>
          <w:rFonts w:hint="eastAsia"/>
          <w:sz w:val="24"/>
        </w:rPr>
        <w:t>1）基层处理</w:t>
      </w:r>
    </w:p>
    <w:p>
      <w:pPr>
        <w:spacing w:line="360" w:lineRule="auto"/>
        <w:ind w:firstLine="240" w:firstLineChars="100"/>
        <w:rPr>
          <w:sz w:val="24"/>
        </w:rPr>
      </w:pPr>
      <w:r>
        <w:rPr>
          <w:rFonts w:hint="eastAsia"/>
          <w:sz w:val="24"/>
        </w:rPr>
        <w:t>a）基层施工、切缝等施工要点，同4.1混凝土地面施工。</w:t>
      </w:r>
    </w:p>
    <w:p>
      <w:pPr>
        <w:spacing w:line="360" w:lineRule="auto"/>
        <w:ind w:firstLine="240" w:firstLineChars="100"/>
        <w:rPr>
          <w:sz w:val="24"/>
        </w:rPr>
      </w:pPr>
      <w:r>
        <w:rPr>
          <w:rFonts w:hint="eastAsia"/>
          <w:sz w:val="24"/>
        </w:rPr>
        <w:t>b）基层使用CCM水分测试仪进行含水率检测、使用硬度刻画器进行硬度检测，使用平整度测试仪进行平整度检测。或者采用塑料薄膜法，把 45cm×45cm 塑料薄膜平放在混凝土表面，用胶带纸密封四边 16 h后，薄膜下出现水珠或混凝土表面变黑，说明混凝土过湿，不宜涂装。</w:t>
      </w:r>
    </w:p>
    <w:p>
      <w:pPr>
        <w:spacing w:line="360" w:lineRule="auto"/>
        <w:ind w:firstLine="240" w:firstLineChars="100"/>
        <w:rPr>
          <w:sz w:val="24"/>
        </w:rPr>
      </w:pPr>
      <w:r>
        <w:rPr>
          <w:rFonts w:hint="eastAsia"/>
          <w:sz w:val="24"/>
        </w:rPr>
        <w:t>c）基层施工时应进行通风，加强空气循环，排除水分达到要求后方可进行涂装。</w:t>
      </w:r>
    </w:p>
    <w:p>
      <w:pPr>
        <w:spacing w:line="360" w:lineRule="auto"/>
        <w:ind w:firstLine="240" w:firstLineChars="100"/>
        <w:rPr>
          <w:sz w:val="24"/>
        </w:rPr>
      </w:pPr>
      <w:r>
        <w:rPr>
          <w:rFonts w:hint="eastAsia"/>
          <w:sz w:val="24"/>
        </w:rPr>
        <w:t>2）施工温度要求</w:t>
      </w:r>
    </w:p>
    <w:p>
      <w:pPr>
        <w:spacing w:line="360" w:lineRule="auto"/>
        <w:ind w:firstLine="480" w:firstLineChars="200"/>
        <w:rPr>
          <w:sz w:val="24"/>
        </w:rPr>
      </w:pPr>
      <w:r>
        <w:rPr>
          <w:rFonts w:hint="eastAsia"/>
          <w:sz w:val="24"/>
        </w:rPr>
        <w:t>施工工艺明确的时间，均为常温下20℃以上的间隔时间。若温度低于20℃，每道工序施工的间隔时间根据实际情况确定。</w:t>
      </w:r>
    </w:p>
    <w:p>
      <w:pPr>
        <w:spacing w:line="360" w:lineRule="auto"/>
        <w:ind w:firstLine="240" w:firstLineChars="100"/>
        <w:rPr>
          <w:sz w:val="24"/>
        </w:rPr>
      </w:pPr>
      <w:r>
        <w:rPr>
          <w:rFonts w:hint="eastAsia"/>
          <w:sz w:val="24"/>
        </w:rPr>
        <w:t>3）涂料施工</w:t>
      </w:r>
    </w:p>
    <w:p>
      <w:pPr>
        <w:spacing w:line="360" w:lineRule="auto"/>
        <w:ind w:firstLine="480" w:firstLineChars="200"/>
        <w:rPr>
          <w:sz w:val="24"/>
        </w:rPr>
      </w:pPr>
      <w:r>
        <w:rPr>
          <w:sz w:val="24"/>
        </w:rPr>
        <w:t>底涂：将底油加水以1：4稀释后，均匀涂刷在基面上。用漆刷或滚筒将自流平底涂剂涂于处理过的混凝土基面上，涂刷二层，在旧基层上需再增1道底漆。第一层干燥后方可涂第二层（间隔时间30min左右）。底涂剂用量约为0.18kg/</w:t>
      </w:r>
      <w:r>
        <w:rPr>
          <w:rFonts w:hAnsi="宋体"/>
          <w:sz w:val="24"/>
        </w:rPr>
        <w:t>㎡</w:t>
      </w:r>
      <w:r>
        <w:rPr>
          <w:sz w:val="24"/>
        </w:rPr>
        <w:t>，每桶可施工约为110㎡。底涂剂干燥后进行自流平施工。</w:t>
      </w:r>
    </w:p>
    <w:p>
      <w:pPr>
        <w:spacing w:line="360" w:lineRule="auto"/>
        <w:ind w:firstLine="480" w:firstLineChars="200"/>
        <w:rPr>
          <w:sz w:val="24"/>
        </w:rPr>
      </w:pPr>
      <w:r>
        <w:rPr>
          <w:sz w:val="24"/>
        </w:rPr>
        <w:t>浆料拌和：先秤量7kg的水量置于拌和机内，边搅拌边加入环氧树脂，直到均匀不见颗粒状，且流动性佳的情况，再继续搅拌3min</w:t>
      </w:r>
      <w:r>
        <w:rPr>
          <w:rFonts w:hAnsi="宋体"/>
          <w:sz w:val="24"/>
        </w:rPr>
        <w:t>～</w:t>
      </w:r>
      <w:r>
        <w:rPr>
          <w:sz w:val="24"/>
        </w:rPr>
        <w:t>4min，使浆料均匀，静止10min左右方可使用。如一次拌和二包，则先加14kg的水，先加一包，搅和至均匀不见颗粒</w:t>
      </w:r>
      <w:r>
        <w:rPr>
          <w:rFonts w:hint="eastAsia"/>
          <w:sz w:val="24"/>
        </w:rPr>
        <w:t>后</w:t>
      </w:r>
      <w:r>
        <w:rPr>
          <w:sz w:val="24"/>
        </w:rPr>
        <w:t>再加第二包。</w:t>
      </w:r>
    </w:p>
    <w:p>
      <w:pPr>
        <w:spacing w:line="360" w:lineRule="auto"/>
        <w:ind w:firstLine="480" w:firstLineChars="200"/>
        <w:rPr>
          <w:sz w:val="24"/>
        </w:rPr>
      </w:pPr>
      <w:r>
        <w:rPr>
          <w:rFonts w:hint="eastAsia"/>
          <w:sz w:val="24"/>
        </w:rPr>
        <w:t>刮涂面层：待底油半干后即可浇注浆料，并以带齿推刀或刮板加助展开，并控制薄层厚度，再以消泡滚筒处理即成高平整地坪。将搅拌均匀自流平砂浆倒于底涂过的基面上，一次涂抹应达到所应厚度，再用镘刀或专用齿针刮刀摊平，再用放气滚筒放气，待其自流。表面凝结后，不用再涂抹。</w:t>
      </w:r>
    </w:p>
    <w:p>
      <w:pPr>
        <w:spacing w:before="120" w:beforeLines="50" w:line="360" w:lineRule="auto"/>
        <w:ind w:firstLine="240" w:firstLineChars="100"/>
        <w:jc w:val="left"/>
        <w:outlineLvl w:val="2"/>
        <w:rPr>
          <w:sz w:val="24"/>
        </w:rPr>
      </w:pPr>
      <w:r>
        <w:rPr>
          <w:rFonts w:hint="eastAsia"/>
          <w:sz w:val="24"/>
        </w:rPr>
        <w:t xml:space="preserve">(3)  </w:t>
      </w:r>
      <w:r>
        <w:rPr>
          <w:sz w:val="24"/>
        </w:rPr>
        <w:t>工程实例</w:t>
      </w:r>
    </w:p>
    <w:tbl>
      <w:tblPr>
        <w:tblStyle w:val="43"/>
        <w:tblW w:w="8093"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33"/>
        <w:gridCol w:w="40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03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19400" cy="1866900"/>
                  <wp:effectExtent l="19050" t="0" r="0" b="0"/>
                  <wp:docPr id="271" name="图片 16" descr="10 PZ2A4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16" descr="10 PZ2A4871"/>
                          <pic:cNvPicPr>
                            <a:picLocks noChangeAspect="1" noChangeArrowheads="1"/>
                          </pic:cNvPicPr>
                        </pic:nvPicPr>
                        <pic:blipFill>
                          <a:blip r:embed="rId38"/>
                          <a:srcRect/>
                          <a:stretch>
                            <a:fillRect/>
                          </a:stretch>
                        </pic:blipFill>
                        <pic:spPr>
                          <a:xfrm>
                            <a:off x="0" y="0"/>
                            <a:ext cx="2819400" cy="1866900"/>
                          </a:xfrm>
                          <a:prstGeom prst="rect">
                            <a:avLst/>
                          </a:prstGeom>
                          <a:noFill/>
                          <a:ln w="9525">
                            <a:noFill/>
                            <a:miter lim="800000"/>
                            <a:headEnd/>
                            <a:tailEnd/>
                          </a:ln>
                        </pic:spPr>
                      </pic:pic>
                    </a:graphicData>
                  </a:graphic>
                </wp:inline>
              </w:drawing>
            </w:r>
          </w:p>
        </w:tc>
        <w:tc>
          <w:tcPr>
            <w:tcW w:w="4060" w:type="dxa"/>
            <w:tcMar>
              <w:left w:w="28" w:type="dxa"/>
              <w:right w:w="28" w:type="dxa"/>
            </w:tcMar>
            <w:vAlign w:val="center"/>
          </w:tcPr>
          <w:p>
            <w:pPr>
              <w:jc w:val="center"/>
              <w:rPr>
                <w:rFonts w:ascii="黑体" w:hAnsi="黑体" w:eastAsia="黑体"/>
                <w:sz w:val="18"/>
                <w:szCs w:val="18"/>
              </w:rPr>
            </w:pPr>
            <w:r>
              <w:rPr>
                <w:rFonts w:ascii="黑体" w:hAnsi="黑体" w:eastAsia="黑体"/>
                <w:sz w:val="18"/>
                <w:szCs w:val="18"/>
              </w:rPr>
              <w:drawing>
                <wp:inline distT="0" distB="0" distL="0" distR="0">
                  <wp:extent cx="2809875" cy="1866900"/>
                  <wp:effectExtent l="19050" t="0" r="9525" b="0"/>
                  <wp:docPr id="272" name="图片 1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15" descr="10"/>
                          <pic:cNvPicPr>
                            <a:picLocks noChangeAspect="1" noChangeArrowheads="1"/>
                          </pic:cNvPicPr>
                        </pic:nvPicPr>
                        <pic:blipFill>
                          <a:blip r:embed="rId39"/>
                          <a:srcRect/>
                          <a:stretch>
                            <a:fillRect/>
                          </a:stretch>
                        </pic:blipFill>
                        <pic:spPr>
                          <a:xfrm>
                            <a:off x="0" y="0"/>
                            <a:ext cx="2809875" cy="186690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093" w:type="dxa"/>
            <w:gridSpan w:val="2"/>
            <w:tcMar>
              <w:left w:w="28" w:type="dxa"/>
              <w:right w:w="28" w:type="dxa"/>
            </w:tcMar>
            <w:vAlign w:val="center"/>
          </w:tcPr>
          <w:p>
            <w:pPr>
              <w:pStyle w:val="93"/>
              <w:spacing w:line="240" w:lineRule="auto"/>
            </w:pPr>
            <w:r>
              <w:t>设备间环氧地坪漆美观</w:t>
            </w:r>
            <w:r>
              <w:rPr>
                <w:rFonts w:hint="eastAsia"/>
              </w:rPr>
              <w:t>，</w:t>
            </w:r>
            <w:r>
              <w:t>设备基础分色清洗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03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28925" cy="1885950"/>
                  <wp:effectExtent l="19050" t="0" r="9525" b="0"/>
                  <wp:docPr id="273" name="图片 14" descr="盖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14" descr="盖沟"/>
                          <pic:cNvPicPr>
                            <a:picLocks noChangeAspect="1" noChangeArrowheads="1"/>
                          </pic:cNvPicPr>
                        </pic:nvPicPr>
                        <pic:blipFill>
                          <a:blip r:embed="rId40"/>
                          <a:srcRect/>
                          <a:stretch>
                            <a:fillRect/>
                          </a:stretch>
                        </pic:blipFill>
                        <pic:spPr>
                          <a:xfrm>
                            <a:off x="0" y="0"/>
                            <a:ext cx="2828925" cy="1885950"/>
                          </a:xfrm>
                          <a:prstGeom prst="rect">
                            <a:avLst/>
                          </a:prstGeom>
                          <a:noFill/>
                          <a:ln w="9525">
                            <a:noFill/>
                            <a:miter lim="800000"/>
                            <a:headEnd/>
                            <a:tailEnd/>
                          </a:ln>
                        </pic:spPr>
                      </pic:pic>
                    </a:graphicData>
                  </a:graphic>
                </wp:inline>
              </w:drawing>
            </w:r>
          </w:p>
        </w:tc>
        <w:tc>
          <w:tcPr>
            <w:tcW w:w="4060" w:type="dxa"/>
            <w:tcMar>
              <w:left w:w="28" w:type="dxa"/>
              <w:right w:w="28" w:type="dxa"/>
            </w:tcMar>
            <w:vAlign w:val="center"/>
          </w:tcPr>
          <w:p>
            <w:pPr>
              <w:jc w:val="center"/>
              <w:rPr>
                <w:rFonts w:ascii="黑体" w:hAnsi="黑体" w:eastAsia="黑体"/>
                <w:sz w:val="18"/>
                <w:szCs w:val="18"/>
              </w:rPr>
            </w:pPr>
            <w:r>
              <w:rPr>
                <w:rFonts w:ascii="黑体" w:hAnsi="黑体" w:eastAsia="黑体"/>
                <w:sz w:val="18"/>
                <w:szCs w:val="18"/>
              </w:rPr>
              <w:drawing>
                <wp:inline distT="0" distB="0" distL="0" distR="0">
                  <wp:extent cx="2847975" cy="1885950"/>
                  <wp:effectExtent l="19050" t="0" r="9525" b="0"/>
                  <wp:docPr id="274" name="图片 13" descr="ALIM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13" descr="ALIM1732"/>
                          <pic:cNvPicPr>
                            <a:picLocks noChangeAspect="1" noChangeArrowheads="1"/>
                          </pic:cNvPicPr>
                        </pic:nvPicPr>
                        <pic:blipFill>
                          <a:blip r:embed="rId41"/>
                          <a:srcRect/>
                          <a:stretch>
                            <a:fillRect/>
                          </a:stretch>
                        </pic:blipFill>
                        <pic:spPr>
                          <a:xfrm>
                            <a:off x="0" y="0"/>
                            <a:ext cx="2847975" cy="18859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093" w:type="dxa"/>
            <w:gridSpan w:val="2"/>
            <w:tcMar>
              <w:left w:w="28" w:type="dxa"/>
              <w:right w:w="28" w:type="dxa"/>
            </w:tcMar>
            <w:vAlign w:val="center"/>
          </w:tcPr>
          <w:p>
            <w:pPr>
              <w:pStyle w:val="93"/>
              <w:spacing w:line="240" w:lineRule="auto"/>
            </w:pPr>
            <w:r>
              <w:rPr>
                <w:rFonts w:hint="eastAsia"/>
              </w:rPr>
              <w:t>排水沟分色清洗、顺直饱满、棱角分明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03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838450" cy="2009775"/>
                  <wp:effectExtent l="19050" t="0" r="0" b="0"/>
                  <wp:docPr id="275" name="图片 12" descr="DSCF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12" descr="DSCF2615"/>
                          <pic:cNvPicPr>
                            <a:picLocks noChangeAspect="1" noChangeArrowheads="1"/>
                          </pic:cNvPicPr>
                        </pic:nvPicPr>
                        <pic:blipFill>
                          <a:blip r:embed="rId42"/>
                          <a:srcRect/>
                          <a:stretch>
                            <a:fillRect/>
                          </a:stretch>
                        </pic:blipFill>
                        <pic:spPr>
                          <a:xfrm>
                            <a:off x="0" y="0"/>
                            <a:ext cx="2838450" cy="2009775"/>
                          </a:xfrm>
                          <a:prstGeom prst="rect">
                            <a:avLst/>
                          </a:prstGeom>
                          <a:noFill/>
                          <a:ln w="9525">
                            <a:noFill/>
                            <a:miter lim="800000"/>
                            <a:headEnd/>
                            <a:tailEnd/>
                          </a:ln>
                        </pic:spPr>
                      </pic:pic>
                    </a:graphicData>
                  </a:graphic>
                </wp:inline>
              </w:drawing>
            </w:r>
          </w:p>
        </w:tc>
        <w:tc>
          <w:tcPr>
            <w:tcW w:w="4060" w:type="dxa"/>
            <w:tcMar>
              <w:left w:w="28" w:type="dxa"/>
              <w:right w:w="28" w:type="dxa"/>
            </w:tcMar>
            <w:vAlign w:val="center"/>
          </w:tcPr>
          <w:p>
            <w:pPr>
              <w:jc w:val="center"/>
              <w:rPr>
                <w:rFonts w:ascii="黑体" w:hAnsi="黑体" w:eastAsia="黑体"/>
                <w:sz w:val="18"/>
                <w:szCs w:val="18"/>
              </w:rPr>
            </w:pPr>
            <w:r>
              <w:rPr>
                <w:rFonts w:ascii="黑体" w:hAnsi="黑体" w:eastAsia="黑体" w:cs="宋体"/>
                <w:kern w:val="0"/>
                <w:sz w:val="18"/>
                <w:szCs w:val="18"/>
              </w:rPr>
              <w:drawing>
                <wp:inline distT="0" distB="0" distL="0" distR="0">
                  <wp:extent cx="2809875" cy="2019300"/>
                  <wp:effectExtent l="19050" t="0" r="9525" b="0"/>
                  <wp:docPr id="276" name="图片 638" descr="NSU5K1B0SVVV~HNGIDMFVQ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638" descr="NSU5K1B0SVVV~HNGIDMFVQB"/>
                          <pic:cNvPicPr>
                            <a:picLocks noChangeAspect="1" noChangeArrowheads="1"/>
                          </pic:cNvPicPr>
                        </pic:nvPicPr>
                        <pic:blipFill>
                          <a:blip r:embed="rId43"/>
                          <a:srcRect/>
                          <a:stretch>
                            <a:fillRect/>
                          </a:stretch>
                        </pic:blipFill>
                        <pic:spPr>
                          <a:xfrm>
                            <a:off x="0" y="0"/>
                            <a:ext cx="2809875" cy="201930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093" w:type="dxa"/>
            <w:gridSpan w:val="2"/>
            <w:tcMar>
              <w:left w:w="28" w:type="dxa"/>
              <w:right w:w="28" w:type="dxa"/>
            </w:tcMar>
            <w:vAlign w:val="center"/>
          </w:tcPr>
          <w:p>
            <w:pPr>
              <w:pStyle w:val="93"/>
              <w:spacing w:line="240" w:lineRule="auto"/>
            </w:pPr>
            <w:r>
              <w:rPr>
                <w:rFonts w:hint="eastAsia"/>
              </w:rPr>
              <w:t>地面平整、分割合理到位、</w:t>
            </w:r>
            <w:r>
              <w:t>分仓缝宽度一致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033" w:type="dxa"/>
            <w:tcMar>
              <w:left w:w="28" w:type="dxa"/>
              <w:right w:w="28" w:type="dxa"/>
            </w:tcMar>
            <w:vAlign w:val="center"/>
          </w:tcPr>
          <w:p>
            <w:pPr>
              <w:jc w:val="center"/>
              <w:rPr>
                <w:rFonts w:ascii="宋体" w:hAnsi="宋体"/>
                <w:szCs w:val="21"/>
              </w:rPr>
            </w:pPr>
            <w:r>
              <w:rPr>
                <w:rFonts w:ascii="宋体" w:hAnsi="宋体"/>
                <w:szCs w:val="21"/>
              </w:rPr>
              <w:drawing>
                <wp:inline distT="0" distB="0" distL="0" distR="0">
                  <wp:extent cx="2733675" cy="1943100"/>
                  <wp:effectExtent l="19050" t="0" r="9525" b="0"/>
                  <wp:docPr id="27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11"/>
                          <pic:cNvPicPr>
                            <a:picLocks noChangeAspect="1" noChangeArrowheads="1"/>
                          </pic:cNvPicPr>
                        </pic:nvPicPr>
                        <pic:blipFill>
                          <a:blip r:embed="rId44"/>
                          <a:srcRect/>
                          <a:stretch>
                            <a:fillRect/>
                          </a:stretch>
                        </pic:blipFill>
                        <pic:spPr>
                          <a:xfrm>
                            <a:off x="0" y="0"/>
                            <a:ext cx="2733675" cy="1943100"/>
                          </a:xfrm>
                          <a:prstGeom prst="rect">
                            <a:avLst/>
                          </a:prstGeom>
                          <a:noFill/>
                          <a:ln w="9525">
                            <a:noFill/>
                            <a:miter lim="800000"/>
                            <a:headEnd/>
                            <a:tailEnd/>
                          </a:ln>
                        </pic:spPr>
                      </pic:pic>
                    </a:graphicData>
                  </a:graphic>
                </wp:inline>
              </w:drawing>
            </w:r>
          </w:p>
        </w:tc>
        <w:tc>
          <w:tcPr>
            <w:tcW w:w="4060" w:type="dxa"/>
            <w:tcMar>
              <w:left w:w="28" w:type="dxa"/>
              <w:right w:w="28" w:type="dxa"/>
            </w:tcMar>
            <w:vAlign w:val="center"/>
          </w:tcPr>
          <w:p>
            <w:pPr>
              <w:jc w:val="center"/>
              <w:rPr>
                <w:rFonts w:ascii="黑体" w:hAnsi="黑体" w:eastAsia="黑体"/>
                <w:sz w:val="18"/>
                <w:szCs w:val="18"/>
              </w:rPr>
            </w:pPr>
            <w:r>
              <w:rPr>
                <w:rFonts w:ascii="黑体" w:hAnsi="黑体" w:eastAsia="黑体"/>
                <w:sz w:val="18"/>
                <w:szCs w:val="18"/>
              </w:rPr>
              <w:drawing>
                <wp:inline distT="0" distB="0" distL="0" distR="0">
                  <wp:extent cx="2705100" cy="1819275"/>
                  <wp:effectExtent l="19050" t="0" r="0" b="0"/>
                  <wp:docPr id="278" name="图片 10" descr="地漆地面-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10" descr="地漆地面-02"/>
                          <pic:cNvPicPr>
                            <a:picLocks noChangeAspect="1" noChangeArrowheads="1"/>
                          </pic:cNvPicPr>
                        </pic:nvPicPr>
                        <pic:blipFill>
                          <a:blip r:embed="rId45"/>
                          <a:srcRect/>
                          <a:stretch>
                            <a:fillRect/>
                          </a:stretch>
                        </pic:blipFill>
                        <pic:spPr>
                          <a:xfrm>
                            <a:off x="0" y="0"/>
                            <a:ext cx="2705100" cy="181927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093" w:type="dxa"/>
            <w:gridSpan w:val="2"/>
            <w:tcMar>
              <w:left w:w="28" w:type="dxa"/>
              <w:right w:w="28" w:type="dxa"/>
            </w:tcMar>
            <w:vAlign w:val="center"/>
          </w:tcPr>
          <w:p>
            <w:pPr>
              <w:pStyle w:val="93"/>
              <w:spacing w:line="240" w:lineRule="auto"/>
            </w:pPr>
            <w:r>
              <w:rPr>
                <w:rFonts w:hint="eastAsia"/>
              </w:rPr>
              <w:t>环氧地坪大面平整、色泽均匀、光洁亮丽、无裂纹</w:t>
            </w:r>
          </w:p>
        </w:tc>
      </w:tr>
    </w:tbl>
    <w:p>
      <w:pPr>
        <w:spacing w:before="120" w:beforeLines="50" w:line="360" w:lineRule="auto"/>
        <w:ind w:firstLine="240" w:firstLineChars="100"/>
        <w:jc w:val="left"/>
        <w:outlineLvl w:val="2"/>
        <w:rPr>
          <w:sz w:val="24"/>
        </w:rPr>
      </w:pPr>
      <w:r>
        <w:rPr>
          <w:rFonts w:hint="eastAsia"/>
          <w:sz w:val="24"/>
        </w:rPr>
        <w:t>(4)  质量通病防治</w:t>
      </w:r>
    </w:p>
    <w:tbl>
      <w:tblPr>
        <w:tblStyle w:val="43"/>
        <w:tblW w:w="8308" w:type="dxa"/>
        <w:tblInd w:w="4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6"/>
        <w:gridCol w:w="3666"/>
        <w:gridCol w:w="3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bCs/>
              </w:rPr>
            </w:pPr>
            <w:r>
              <w:rPr>
                <w:rFonts w:hint="eastAsia" w:ascii="宋体" w:hAnsi="宋体"/>
                <w:bCs/>
              </w:rPr>
              <w:t>质量通病</w:t>
            </w:r>
          </w:p>
        </w:tc>
        <w:tc>
          <w:tcPr>
            <w:tcW w:w="3666" w:type="dxa"/>
            <w:vAlign w:val="center"/>
          </w:tcPr>
          <w:p>
            <w:pPr>
              <w:spacing w:line="360" w:lineRule="auto"/>
              <w:jc w:val="center"/>
              <w:rPr>
                <w:rFonts w:ascii="宋体" w:hAnsi="宋体"/>
                <w:bCs/>
              </w:rPr>
            </w:pPr>
            <w:r>
              <w:rPr>
                <w:rFonts w:ascii="宋体" w:hAnsi="宋体"/>
                <w:bCs/>
              </w:rPr>
              <w:t>通病实例图</w:t>
            </w:r>
          </w:p>
        </w:tc>
        <w:tc>
          <w:tcPr>
            <w:tcW w:w="3766" w:type="dxa"/>
            <w:vAlign w:val="center"/>
          </w:tcPr>
          <w:p>
            <w:pPr>
              <w:jc w:val="center"/>
              <w:rPr>
                <w:rFonts w:ascii="宋体" w:hAnsi="宋体"/>
                <w:bCs/>
              </w:rPr>
            </w:pPr>
            <w:r>
              <w:rPr>
                <w:rFonts w:hint="eastAsia" w:ascii="宋体" w:hAnsi="宋体"/>
                <w:bCs/>
              </w:rPr>
              <w:t>防治措施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地坪有色差，色泽不一致</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619250"/>
                  <wp:effectExtent l="19050" t="0" r="0" b="0"/>
                  <wp:docPr id="279" name="图片 9" descr="色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9" descr="色差"/>
                          <pic:cNvPicPr>
                            <a:picLocks noChangeAspect="1" noChangeArrowheads="1"/>
                          </pic:cNvPicPr>
                        </pic:nvPicPr>
                        <pic:blipFill>
                          <a:blip r:embed="rId46"/>
                          <a:srcRect/>
                          <a:stretch>
                            <a:fillRect/>
                          </a:stretch>
                        </pic:blipFill>
                        <pic:spPr>
                          <a:xfrm>
                            <a:off x="0" y="0"/>
                            <a:ext cx="2171700" cy="1619250"/>
                          </a:xfrm>
                          <a:prstGeom prst="rect">
                            <a:avLst/>
                          </a:prstGeom>
                          <a:noFill/>
                          <a:ln w="9525">
                            <a:noFill/>
                            <a:miter lim="800000"/>
                            <a:headEnd/>
                            <a:tailEnd/>
                          </a:ln>
                        </pic:spPr>
                      </pic:pic>
                    </a:graphicData>
                  </a:graphic>
                </wp:inline>
              </w:drawing>
            </w:r>
          </w:p>
        </w:tc>
        <w:tc>
          <w:tcPr>
            <w:tcW w:w="3766" w:type="dxa"/>
            <w:vAlign w:val="center"/>
          </w:tcPr>
          <w:p>
            <w:pPr>
              <w:numPr>
                <w:ilvl w:val="0"/>
                <w:numId w:val="8"/>
              </w:numPr>
              <w:rPr>
                <w:rFonts w:ascii="宋体" w:hAnsi="宋体"/>
              </w:rPr>
            </w:pPr>
            <w:r>
              <w:rPr>
                <w:rFonts w:hint="eastAsia" w:ascii="宋体" w:hAnsi="宋体"/>
              </w:rPr>
              <w:t>涂料应先充分搅拌均匀；</w:t>
            </w:r>
          </w:p>
          <w:p>
            <w:pPr>
              <w:numPr>
                <w:ilvl w:val="0"/>
                <w:numId w:val="8"/>
              </w:numPr>
              <w:rPr>
                <w:rFonts w:ascii="宋体" w:hAnsi="宋体"/>
              </w:rPr>
            </w:pPr>
            <w:r>
              <w:rPr>
                <w:rFonts w:hint="eastAsia" w:ascii="宋体" w:hAnsi="宋体"/>
              </w:rPr>
              <w:t>避免材料前后接触间隔过久，整个操作协调有序且一次性施工完成；</w:t>
            </w:r>
          </w:p>
          <w:p>
            <w:pPr>
              <w:numPr>
                <w:ilvl w:val="0"/>
                <w:numId w:val="8"/>
              </w:numPr>
              <w:rPr>
                <w:rFonts w:ascii="宋体" w:hAnsi="宋体"/>
              </w:rPr>
            </w:pPr>
            <w:r>
              <w:rPr>
                <w:rFonts w:hint="eastAsia" w:ascii="宋体" w:hAnsi="宋体"/>
              </w:rPr>
              <w:t>务必使用专用工具及合理组织足够的熟手施工人员；</w:t>
            </w:r>
          </w:p>
          <w:p>
            <w:pPr>
              <w:numPr>
                <w:ilvl w:val="0"/>
                <w:numId w:val="8"/>
              </w:numPr>
              <w:rPr>
                <w:rFonts w:ascii="宋体" w:hAnsi="宋体"/>
              </w:rPr>
            </w:pPr>
            <w:r>
              <w:rPr>
                <w:rFonts w:hint="eastAsia" w:ascii="宋体" w:hAnsi="宋体"/>
              </w:rPr>
              <w:t>应使用同一批号涂料。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04" w:hRule="atLeast"/>
        </w:trPr>
        <w:tc>
          <w:tcPr>
            <w:tcW w:w="876" w:type="dxa"/>
            <w:vAlign w:val="center"/>
          </w:tcPr>
          <w:p>
            <w:pPr>
              <w:jc w:val="center"/>
              <w:rPr>
                <w:rFonts w:ascii="宋体" w:hAnsi="宋体"/>
              </w:rPr>
            </w:pPr>
            <w:r>
              <w:rPr>
                <w:rFonts w:hint="eastAsia" w:ascii="宋体" w:hAnsi="宋体"/>
              </w:rPr>
              <w:t>表面不平整</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619250"/>
                  <wp:effectExtent l="19050" t="0" r="0" b="0"/>
                  <wp:docPr id="280" name="图片 8" descr="不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8" descr="不平"/>
                          <pic:cNvPicPr>
                            <a:picLocks noChangeAspect="1" noChangeArrowheads="1"/>
                          </pic:cNvPicPr>
                        </pic:nvPicPr>
                        <pic:blipFill>
                          <a:blip r:embed="rId47"/>
                          <a:srcRect/>
                          <a:stretch>
                            <a:fillRect/>
                          </a:stretch>
                        </pic:blipFill>
                        <pic:spPr>
                          <a:xfrm>
                            <a:off x="0" y="0"/>
                            <a:ext cx="2171700" cy="1619250"/>
                          </a:xfrm>
                          <a:prstGeom prst="rect">
                            <a:avLst/>
                          </a:prstGeom>
                          <a:noFill/>
                          <a:ln w="9525">
                            <a:noFill/>
                            <a:miter lim="800000"/>
                            <a:headEnd/>
                            <a:tailEnd/>
                          </a:ln>
                        </pic:spPr>
                      </pic:pic>
                    </a:graphicData>
                  </a:graphic>
                </wp:inline>
              </w:drawing>
            </w:r>
          </w:p>
        </w:tc>
        <w:tc>
          <w:tcPr>
            <w:tcW w:w="3766" w:type="dxa"/>
            <w:vAlign w:val="center"/>
          </w:tcPr>
          <w:p>
            <w:pPr>
              <w:numPr>
                <w:ilvl w:val="0"/>
                <w:numId w:val="9"/>
              </w:numPr>
              <w:tabs>
                <w:tab w:val="left" w:pos="420"/>
              </w:tabs>
              <w:rPr>
                <w:rFonts w:ascii="宋体" w:hAnsi="宋体"/>
              </w:rPr>
            </w:pPr>
            <w:r>
              <w:rPr>
                <w:rFonts w:hint="eastAsia" w:ascii="宋体" w:hAnsi="宋体"/>
              </w:rPr>
              <w:t>环境力求清洁，石英砂颗粒应均匀；</w:t>
            </w:r>
          </w:p>
          <w:p>
            <w:pPr>
              <w:numPr>
                <w:ilvl w:val="0"/>
                <w:numId w:val="9"/>
              </w:numPr>
              <w:tabs>
                <w:tab w:val="left" w:pos="420"/>
              </w:tabs>
              <w:rPr>
                <w:rFonts w:ascii="宋体" w:hAnsi="宋体"/>
              </w:rPr>
            </w:pPr>
            <w:r>
              <w:rPr>
                <w:rFonts w:hint="eastAsia" w:ascii="宋体" w:hAnsi="宋体"/>
              </w:rPr>
              <w:t>材料前后涂布，衔接时间不</w:t>
            </w:r>
            <w:r>
              <w:rPr>
                <w:rFonts w:ascii="宋体" w:hAnsi="宋体"/>
              </w:rPr>
              <w:t>应</w:t>
            </w:r>
            <w:r>
              <w:rPr>
                <w:rFonts w:hint="eastAsia" w:ascii="宋体" w:hAnsi="宋体"/>
              </w:rPr>
              <w:t>超过</w:t>
            </w:r>
            <w:r>
              <w:rPr>
                <w:rFonts w:ascii="宋体" w:hAnsi="宋体"/>
              </w:rPr>
              <w:t>材料规定时间</w:t>
            </w:r>
            <w:r>
              <w:rPr>
                <w:rFonts w:hint="eastAsia" w:ascii="宋体" w:hAnsi="宋体"/>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57" w:hRule="atLeast"/>
        </w:trPr>
        <w:tc>
          <w:tcPr>
            <w:tcW w:w="876" w:type="dxa"/>
            <w:vAlign w:val="center"/>
          </w:tcPr>
          <w:p>
            <w:pPr>
              <w:jc w:val="center"/>
              <w:rPr>
                <w:rFonts w:ascii="宋体" w:hAnsi="宋体"/>
              </w:rPr>
            </w:pPr>
            <w:r>
              <w:rPr>
                <w:rFonts w:hint="eastAsia" w:ascii="宋体" w:hAnsi="宋体"/>
              </w:rPr>
              <w:t>表面发白</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524000"/>
                  <wp:effectExtent l="19050" t="0" r="0" b="0"/>
                  <wp:docPr id="281" name="图片 7" descr="表面发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7" descr="表面发白"/>
                          <pic:cNvPicPr>
                            <a:picLocks noChangeAspect="1" noChangeArrowheads="1"/>
                          </pic:cNvPicPr>
                        </pic:nvPicPr>
                        <pic:blipFill>
                          <a:blip r:embed="rId48"/>
                          <a:srcRect/>
                          <a:stretch>
                            <a:fillRect/>
                          </a:stretch>
                        </pic:blipFill>
                        <pic:spPr>
                          <a:xfrm>
                            <a:off x="0" y="0"/>
                            <a:ext cx="2171700" cy="1524000"/>
                          </a:xfrm>
                          <a:prstGeom prst="rect">
                            <a:avLst/>
                          </a:prstGeom>
                          <a:noFill/>
                          <a:ln w="9525">
                            <a:noFill/>
                            <a:miter lim="800000"/>
                            <a:headEnd/>
                            <a:tailEnd/>
                          </a:ln>
                        </pic:spPr>
                      </pic:pic>
                    </a:graphicData>
                  </a:graphic>
                </wp:inline>
              </w:drawing>
            </w:r>
          </w:p>
        </w:tc>
        <w:tc>
          <w:tcPr>
            <w:tcW w:w="3766" w:type="dxa"/>
            <w:vAlign w:val="center"/>
          </w:tcPr>
          <w:p>
            <w:pPr>
              <w:numPr>
                <w:ilvl w:val="0"/>
                <w:numId w:val="10"/>
              </w:numPr>
              <w:tabs>
                <w:tab w:val="left" w:pos="1250"/>
              </w:tabs>
              <w:rPr>
                <w:rFonts w:ascii="宋体" w:hAnsi="宋体"/>
              </w:rPr>
            </w:pPr>
            <w:r>
              <w:rPr>
                <w:rFonts w:hint="eastAsia" w:ascii="宋体" w:hAnsi="宋体"/>
              </w:rPr>
              <w:t>选择适当固化剂；</w:t>
            </w:r>
          </w:p>
          <w:p>
            <w:pPr>
              <w:numPr>
                <w:ilvl w:val="0"/>
                <w:numId w:val="10"/>
              </w:numPr>
              <w:tabs>
                <w:tab w:val="left" w:pos="1250"/>
              </w:tabs>
              <w:rPr>
                <w:rFonts w:ascii="宋体" w:hAnsi="宋体"/>
              </w:rPr>
            </w:pPr>
            <w:r>
              <w:rPr>
                <w:rFonts w:hint="eastAsia" w:ascii="宋体" w:hAnsi="宋体"/>
              </w:rPr>
              <w:t>避免低温多湿条件施工,不得已时应采取加温除湿措施，如空调加温降湿,暖风机加温;</w:t>
            </w:r>
          </w:p>
          <w:p>
            <w:pPr>
              <w:numPr>
                <w:ilvl w:val="0"/>
                <w:numId w:val="10"/>
              </w:numPr>
              <w:tabs>
                <w:tab w:val="left" w:pos="1250"/>
              </w:tabs>
              <w:rPr>
                <w:rFonts w:ascii="宋体" w:hAnsi="宋体"/>
              </w:rPr>
            </w:pPr>
            <w:r>
              <w:rPr>
                <w:rFonts w:hint="eastAsia" w:ascii="宋体" w:hAnsi="宋体"/>
              </w:rPr>
              <w:t>避免施工后有水侵入。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环氧地坪剥离、裂纹及破损</w:t>
            </w:r>
          </w:p>
        </w:tc>
        <w:tc>
          <w:tcPr>
            <w:tcW w:w="3666" w:type="dxa"/>
            <w:vAlign w:val="center"/>
          </w:tcPr>
          <w:p>
            <w:pPr>
              <w:widowControl/>
              <w:jc w:val="center"/>
              <w:rPr>
                <w:rFonts w:ascii="宋体" w:hAnsi="宋体"/>
              </w:rPr>
            </w:pPr>
            <w:r>
              <w:rPr>
                <w:rFonts w:ascii="宋体" w:hAnsi="宋体" w:cs="宋体"/>
                <w:kern w:val="0"/>
                <w:sz w:val="24"/>
              </w:rPr>
              <w:drawing>
                <wp:inline distT="0" distB="0" distL="0" distR="0">
                  <wp:extent cx="2162175" cy="1609725"/>
                  <wp:effectExtent l="19050" t="0" r="9525" b="0"/>
                  <wp:docPr id="282" name="图片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644"/>
                          <pic:cNvPicPr>
                            <a:picLocks noChangeAspect="1" noChangeArrowheads="1"/>
                          </pic:cNvPicPr>
                        </pic:nvPicPr>
                        <pic:blipFill>
                          <a:blip r:embed="rId49"/>
                          <a:srcRect/>
                          <a:stretch>
                            <a:fillRect/>
                          </a:stretch>
                        </pic:blipFill>
                        <pic:spPr>
                          <a:xfrm>
                            <a:off x="0" y="0"/>
                            <a:ext cx="2162175" cy="1609725"/>
                          </a:xfrm>
                          <a:prstGeom prst="rect">
                            <a:avLst/>
                          </a:prstGeom>
                          <a:noFill/>
                          <a:ln w="9525">
                            <a:noFill/>
                            <a:miter lim="800000"/>
                            <a:headEnd/>
                            <a:tailEnd/>
                          </a:ln>
                        </pic:spPr>
                      </pic:pic>
                    </a:graphicData>
                  </a:graphic>
                </wp:inline>
              </w:drawing>
            </w:r>
          </w:p>
        </w:tc>
        <w:tc>
          <w:tcPr>
            <w:tcW w:w="3766" w:type="dxa"/>
            <w:vAlign w:val="center"/>
          </w:tcPr>
          <w:p>
            <w:pPr>
              <w:numPr>
                <w:ilvl w:val="0"/>
                <w:numId w:val="11"/>
              </w:numPr>
              <w:tabs>
                <w:tab w:val="left" w:pos="360"/>
              </w:tabs>
              <w:rPr>
                <w:rFonts w:ascii="宋体" w:hAnsi="宋体"/>
              </w:rPr>
            </w:pPr>
            <w:r>
              <w:rPr>
                <w:rFonts w:hint="eastAsia" w:ascii="宋体" w:hAnsi="宋体"/>
              </w:rPr>
              <w:t>基层</w:t>
            </w:r>
            <w:r>
              <w:rPr>
                <w:rFonts w:ascii="宋体" w:hAnsi="宋体"/>
              </w:rPr>
              <w:t>严格按照</w:t>
            </w:r>
            <w:r>
              <w:rPr>
                <w:rFonts w:hint="eastAsia" w:ascii="宋体" w:hAnsi="宋体"/>
              </w:rPr>
              <w:t>4.1混凝土</w:t>
            </w:r>
            <w:r>
              <w:rPr>
                <w:rFonts w:ascii="宋体" w:hAnsi="宋体"/>
              </w:rPr>
              <w:t>地面和水泥砂浆地面进行施工</w:t>
            </w:r>
            <w:r>
              <w:rPr>
                <w:rFonts w:hint="eastAsia" w:ascii="宋体" w:hAnsi="宋体"/>
              </w:rPr>
              <w:t>；</w:t>
            </w:r>
          </w:p>
          <w:p>
            <w:pPr>
              <w:numPr>
                <w:ilvl w:val="0"/>
                <w:numId w:val="11"/>
              </w:numPr>
              <w:tabs>
                <w:tab w:val="left" w:pos="360"/>
              </w:tabs>
              <w:rPr>
                <w:rFonts w:ascii="宋体" w:hAnsi="宋体"/>
              </w:rPr>
            </w:pPr>
            <w:r>
              <w:rPr>
                <w:rFonts w:hint="eastAsia" w:ascii="宋体" w:hAnsi="宋体"/>
              </w:rPr>
              <w:t>选择适当低粘度底漆；</w:t>
            </w:r>
          </w:p>
          <w:p>
            <w:pPr>
              <w:numPr>
                <w:ilvl w:val="0"/>
                <w:numId w:val="11"/>
              </w:numPr>
              <w:tabs>
                <w:tab w:val="left" w:pos="360"/>
              </w:tabs>
              <w:rPr>
                <w:rFonts w:ascii="宋体" w:hAnsi="宋体"/>
              </w:rPr>
            </w:pPr>
            <w:r>
              <w:rPr>
                <w:rFonts w:hint="eastAsia" w:ascii="宋体" w:hAnsi="宋体"/>
              </w:rPr>
              <w:t>每道涂层时间间隔为上一道涂层表干可进人后即需施工下一道涂层，避免交叉作业污染；</w:t>
            </w:r>
          </w:p>
          <w:p>
            <w:pPr>
              <w:numPr>
                <w:ilvl w:val="0"/>
                <w:numId w:val="11"/>
              </w:numPr>
              <w:tabs>
                <w:tab w:val="left" w:pos="360"/>
              </w:tabs>
              <w:rPr>
                <w:rFonts w:ascii="宋体" w:hAnsi="宋体"/>
              </w:rPr>
            </w:pPr>
            <w:r>
              <w:rPr>
                <w:rFonts w:hint="eastAsia" w:ascii="宋体" w:hAnsi="宋体"/>
              </w:rPr>
              <w:t>地下水压过高，应先施工防水层，基面含水率过大，应先烘干处理及选用亲水性底漆。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气泡及针孔</w:t>
            </w:r>
          </w:p>
        </w:tc>
        <w:tc>
          <w:tcPr>
            <w:tcW w:w="3666" w:type="dxa"/>
            <w:vAlign w:val="center"/>
          </w:tcPr>
          <w:p>
            <w:pPr>
              <w:spacing w:line="360" w:lineRule="auto"/>
              <w:jc w:val="center"/>
              <w:rPr>
                <w:rFonts w:ascii="宋体" w:hAnsi="宋体"/>
              </w:rPr>
            </w:pPr>
            <w:r>
              <w:rPr>
                <w:rFonts w:ascii="宋体" w:hAnsi="宋体"/>
              </w:rPr>
              <w:drawing>
                <wp:inline distT="0" distB="0" distL="0" distR="0">
                  <wp:extent cx="2162175" cy="1638300"/>
                  <wp:effectExtent l="19050" t="0" r="9525" b="0"/>
                  <wp:docPr id="283" name="图片 6" descr="1385532649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6" descr="1385532649063"/>
                          <pic:cNvPicPr>
                            <a:picLocks noChangeAspect="1" noChangeArrowheads="1"/>
                          </pic:cNvPicPr>
                        </pic:nvPicPr>
                        <pic:blipFill>
                          <a:blip r:embed="rId50"/>
                          <a:srcRect/>
                          <a:stretch>
                            <a:fillRect/>
                          </a:stretch>
                        </pic:blipFill>
                        <pic:spPr>
                          <a:xfrm>
                            <a:off x="0" y="0"/>
                            <a:ext cx="2162175" cy="1638300"/>
                          </a:xfrm>
                          <a:prstGeom prst="rect">
                            <a:avLst/>
                          </a:prstGeom>
                          <a:noFill/>
                          <a:ln w="9525">
                            <a:noFill/>
                            <a:miter lim="800000"/>
                            <a:headEnd/>
                            <a:tailEnd/>
                          </a:ln>
                        </pic:spPr>
                      </pic:pic>
                    </a:graphicData>
                  </a:graphic>
                </wp:inline>
              </w:drawing>
            </w:r>
          </w:p>
        </w:tc>
        <w:tc>
          <w:tcPr>
            <w:tcW w:w="3766" w:type="dxa"/>
            <w:vAlign w:val="center"/>
          </w:tcPr>
          <w:p>
            <w:pPr>
              <w:numPr>
                <w:ilvl w:val="0"/>
                <w:numId w:val="12"/>
              </w:numPr>
              <w:tabs>
                <w:tab w:val="left" w:pos="360"/>
              </w:tabs>
              <w:rPr>
                <w:rFonts w:ascii="宋体" w:hAnsi="宋体"/>
              </w:rPr>
            </w:pPr>
            <w:r>
              <w:rPr>
                <w:rFonts w:hint="eastAsia" w:ascii="宋体" w:hAnsi="宋体"/>
              </w:rPr>
              <w:t>充分混合均匀后，宜静置消泡3～5分钟；</w:t>
            </w:r>
          </w:p>
          <w:p>
            <w:pPr>
              <w:numPr>
                <w:ilvl w:val="0"/>
                <w:numId w:val="12"/>
              </w:numPr>
              <w:tabs>
                <w:tab w:val="left" w:pos="360"/>
              </w:tabs>
              <w:rPr>
                <w:rFonts w:ascii="宋体" w:hAnsi="宋体"/>
              </w:rPr>
            </w:pPr>
            <w:r>
              <w:rPr>
                <w:rFonts w:hint="eastAsia" w:ascii="宋体" w:hAnsi="宋体"/>
              </w:rPr>
              <w:t>涂布抹平时，表面不允许有目视之气泡，用针刺或消泡滚筒消泡。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地坪漆不干或局部不干</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552575"/>
                  <wp:effectExtent l="19050" t="0" r="0" b="0"/>
                  <wp:docPr id="284" name="图片 5" descr="不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5" descr="不干"/>
                          <pic:cNvPicPr>
                            <a:picLocks noChangeAspect="1" noChangeArrowheads="1"/>
                          </pic:cNvPicPr>
                        </pic:nvPicPr>
                        <pic:blipFill>
                          <a:blip r:embed="rId51"/>
                          <a:srcRect/>
                          <a:stretch>
                            <a:fillRect/>
                          </a:stretch>
                        </pic:blipFill>
                        <pic:spPr>
                          <a:xfrm>
                            <a:off x="0" y="0"/>
                            <a:ext cx="2171700" cy="1552575"/>
                          </a:xfrm>
                          <a:prstGeom prst="rect">
                            <a:avLst/>
                          </a:prstGeom>
                          <a:noFill/>
                          <a:ln w="9525">
                            <a:noFill/>
                            <a:miter lim="800000"/>
                            <a:headEnd/>
                            <a:tailEnd/>
                          </a:ln>
                        </pic:spPr>
                      </pic:pic>
                    </a:graphicData>
                  </a:graphic>
                </wp:inline>
              </w:drawing>
            </w:r>
          </w:p>
        </w:tc>
        <w:tc>
          <w:tcPr>
            <w:tcW w:w="3766" w:type="dxa"/>
            <w:vAlign w:val="center"/>
          </w:tcPr>
          <w:p>
            <w:pPr>
              <w:numPr>
                <w:ilvl w:val="0"/>
                <w:numId w:val="12"/>
              </w:numPr>
              <w:tabs>
                <w:tab w:val="left" w:pos="360"/>
              </w:tabs>
              <w:rPr>
                <w:rFonts w:ascii="宋体" w:hAnsi="宋体"/>
              </w:rPr>
            </w:pPr>
            <w:r>
              <w:rPr>
                <w:rFonts w:hint="eastAsia" w:ascii="宋体" w:hAnsi="宋体"/>
              </w:rPr>
              <w:t>避免低温多湿条件施工，低温下应选择低温反应的固化剂；</w:t>
            </w:r>
          </w:p>
          <w:p>
            <w:pPr>
              <w:numPr>
                <w:ilvl w:val="0"/>
                <w:numId w:val="12"/>
              </w:numPr>
              <w:tabs>
                <w:tab w:val="left" w:pos="360"/>
              </w:tabs>
              <w:rPr>
                <w:rFonts w:ascii="宋体" w:hAnsi="宋体"/>
              </w:rPr>
            </w:pPr>
            <w:r>
              <w:rPr>
                <w:rFonts w:hint="eastAsia" w:ascii="宋体" w:hAnsi="宋体"/>
              </w:rPr>
              <w:t>主剂和固化剂应严格按重量比例准确混合，合理使用配料桶；</w:t>
            </w:r>
          </w:p>
          <w:p>
            <w:pPr>
              <w:numPr>
                <w:ilvl w:val="0"/>
                <w:numId w:val="12"/>
              </w:numPr>
              <w:tabs>
                <w:tab w:val="left" w:pos="360"/>
              </w:tabs>
              <w:rPr>
                <w:rFonts w:ascii="宋体" w:hAnsi="宋体"/>
              </w:rPr>
            </w:pPr>
            <w:r>
              <w:rPr>
                <w:rFonts w:hint="eastAsia" w:ascii="宋体" w:hAnsi="宋体"/>
              </w:rPr>
              <w:t>主剂和固化剂应充分搅拌均匀。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齿痕</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552575"/>
                  <wp:effectExtent l="19050" t="0" r="0" b="0"/>
                  <wp:docPr id="285" name="图片 4" descr="齿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4" descr="齿痕"/>
                          <pic:cNvPicPr>
                            <a:picLocks noChangeAspect="1" noChangeArrowheads="1"/>
                          </pic:cNvPicPr>
                        </pic:nvPicPr>
                        <pic:blipFill>
                          <a:blip r:embed="rId52"/>
                          <a:srcRect/>
                          <a:stretch>
                            <a:fillRect/>
                          </a:stretch>
                        </pic:blipFill>
                        <pic:spPr>
                          <a:xfrm>
                            <a:off x="0" y="0"/>
                            <a:ext cx="2171700" cy="1552575"/>
                          </a:xfrm>
                          <a:prstGeom prst="rect">
                            <a:avLst/>
                          </a:prstGeom>
                          <a:noFill/>
                          <a:ln w="9525">
                            <a:noFill/>
                            <a:miter lim="800000"/>
                            <a:headEnd/>
                            <a:tailEnd/>
                          </a:ln>
                        </pic:spPr>
                      </pic:pic>
                    </a:graphicData>
                  </a:graphic>
                </wp:inline>
              </w:drawing>
            </w:r>
          </w:p>
        </w:tc>
        <w:tc>
          <w:tcPr>
            <w:tcW w:w="3766" w:type="dxa"/>
            <w:vAlign w:val="center"/>
          </w:tcPr>
          <w:p>
            <w:pPr>
              <w:numPr>
                <w:ilvl w:val="0"/>
                <w:numId w:val="13"/>
              </w:numPr>
              <w:tabs>
                <w:tab w:val="left" w:pos="845"/>
              </w:tabs>
              <w:rPr>
                <w:rFonts w:ascii="宋体" w:hAnsi="宋体"/>
              </w:rPr>
            </w:pPr>
            <w:r>
              <w:rPr>
                <w:rFonts w:hint="eastAsia" w:ascii="宋体" w:hAnsi="宋体"/>
              </w:rPr>
              <w:t>正确使用镘刀涂布均匀；</w:t>
            </w:r>
          </w:p>
          <w:p>
            <w:pPr>
              <w:numPr>
                <w:ilvl w:val="0"/>
                <w:numId w:val="13"/>
              </w:numPr>
              <w:tabs>
                <w:tab w:val="left" w:pos="845"/>
              </w:tabs>
              <w:rPr>
                <w:rFonts w:ascii="宋体" w:hAnsi="宋体"/>
              </w:rPr>
            </w:pPr>
            <w:r>
              <w:rPr>
                <w:rFonts w:hint="eastAsia" w:ascii="宋体" w:hAnsi="宋体"/>
              </w:rPr>
              <w:t>选用粘度低、流平性好的涂料；</w:t>
            </w:r>
          </w:p>
          <w:p>
            <w:pPr>
              <w:numPr>
                <w:ilvl w:val="0"/>
                <w:numId w:val="13"/>
              </w:numPr>
              <w:tabs>
                <w:tab w:val="left" w:pos="845"/>
              </w:tabs>
              <w:rPr>
                <w:rFonts w:ascii="宋体" w:hAnsi="宋体"/>
              </w:rPr>
            </w:pPr>
            <w:r>
              <w:rPr>
                <w:rFonts w:hint="eastAsia" w:ascii="宋体" w:hAnsi="宋体"/>
              </w:rPr>
              <w:t>选择反应不太快的涂料，按重量比准确混合且搅拌均匀。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火山口</w:t>
            </w:r>
          </w:p>
        </w:tc>
        <w:tc>
          <w:tcPr>
            <w:tcW w:w="3666" w:type="dxa"/>
            <w:vAlign w:val="center"/>
          </w:tcPr>
          <w:p>
            <w:pPr>
              <w:spacing w:line="360" w:lineRule="auto"/>
              <w:jc w:val="center"/>
              <w:rPr>
                <w:rFonts w:ascii="宋体" w:hAnsi="宋体"/>
              </w:rPr>
            </w:pPr>
            <w:r>
              <w:drawing>
                <wp:inline distT="0" distB="0" distL="0" distR="0">
                  <wp:extent cx="2171700" cy="1171575"/>
                  <wp:effectExtent l="19050" t="0" r="0" b="0"/>
                  <wp:docPr id="28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3"/>
                          <pic:cNvPicPr>
                            <a:picLocks noChangeAspect="1" noChangeArrowheads="1"/>
                          </pic:cNvPicPr>
                        </pic:nvPicPr>
                        <pic:blipFill>
                          <a:blip r:embed="rId53"/>
                          <a:srcRect/>
                          <a:stretch>
                            <a:fillRect/>
                          </a:stretch>
                        </pic:blipFill>
                        <pic:spPr>
                          <a:xfrm>
                            <a:off x="0" y="0"/>
                            <a:ext cx="2171700" cy="1171575"/>
                          </a:xfrm>
                          <a:prstGeom prst="rect">
                            <a:avLst/>
                          </a:prstGeom>
                          <a:noFill/>
                          <a:ln w="9525">
                            <a:noFill/>
                            <a:miter lim="800000"/>
                            <a:headEnd/>
                            <a:tailEnd/>
                          </a:ln>
                        </pic:spPr>
                      </pic:pic>
                    </a:graphicData>
                  </a:graphic>
                </wp:inline>
              </w:drawing>
            </w:r>
          </w:p>
        </w:tc>
        <w:tc>
          <w:tcPr>
            <w:tcW w:w="3766" w:type="dxa"/>
            <w:vAlign w:val="center"/>
          </w:tcPr>
          <w:p>
            <w:pPr>
              <w:numPr>
                <w:ilvl w:val="0"/>
                <w:numId w:val="14"/>
              </w:numPr>
              <w:rPr>
                <w:rFonts w:ascii="宋体" w:hAnsi="宋体"/>
              </w:rPr>
            </w:pPr>
            <w:r>
              <w:rPr>
                <w:rFonts w:hint="eastAsia" w:ascii="宋体" w:hAnsi="宋体"/>
              </w:rPr>
              <w:t>施工前先用环氧中涂把凹洞修补平后再进行施工；</w:t>
            </w:r>
          </w:p>
          <w:p>
            <w:pPr>
              <w:numPr>
                <w:ilvl w:val="0"/>
                <w:numId w:val="14"/>
              </w:numPr>
              <w:rPr>
                <w:rFonts w:ascii="宋体" w:hAnsi="宋体"/>
              </w:rPr>
            </w:pPr>
            <w:r>
              <w:rPr>
                <w:rFonts w:hint="eastAsia" w:ascii="宋体" w:hAnsi="宋体"/>
              </w:rPr>
              <w:t>将下层油污清除干净。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露底</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552575"/>
                  <wp:effectExtent l="19050" t="0" r="0" b="0"/>
                  <wp:docPr id="287" name="图片 2" descr="露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2" descr="露底"/>
                          <pic:cNvPicPr>
                            <a:picLocks noChangeAspect="1" noChangeArrowheads="1"/>
                          </pic:cNvPicPr>
                        </pic:nvPicPr>
                        <pic:blipFill>
                          <a:blip r:embed="rId54"/>
                          <a:srcRect/>
                          <a:stretch>
                            <a:fillRect/>
                          </a:stretch>
                        </pic:blipFill>
                        <pic:spPr>
                          <a:xfrm>
                            <a:off x="0" y="0"/>
                            <a:ext cx="2171700" cy="1552575"/>
                          </a:xfrm>
                          <a:prstGeom prst="rect">
                            <a:avLst/>
                          </a:prstGeom>
                          <a:noFill/>
                          <a:ln w="9525">
                            <a:noFill/>
                            <a:miter lim="800000"/>
                            <a:headEnd/>
                            <a:tailEnd/>
                          </a:ln>
                        </pic:spPr>
                      </pic:pic>
                    </a:graphicData>
                  </a:graphic>
                </wp:inline>
              </w:drawing>
            </w:r>
          </w:p>
        </w:tc>
        <w:tc>
          <w:tcPr>
            <w:tcW w:w="3766" w:type="dxa"/>
            <w:vAlign w:val="center"/>
          </w:tcPr>
          <w:p>
            <w:pPr>
              <w:numPr>
                <w:ilvl w:val="0"/>
                <w:numId w:val="15"/>
              </w:numPr>
              <w:rPr>
                <w:rFonts w:ascii="宋体" w:hAnsi="宋体"/>
              </w:rPr>
            </w:pPr>
            <w:r>
              <w:rPr>
                <w:rFonts w:hint="eastAsia" w:ascii="宋体" w:hAnsi="宋体"/>
              </w:rPr>
              <w:t>漆膜应达到足够厚度；</w:t>
            </w:r>
          </w:p>
          <w:p>
            <w:pPr>
              <w:numPr>
                <w:ilvl w:val="0"/>
                <w:numId w:val="15"/>
              </w:numPr>
              <w:rPr>
                <w:rFonts w:ascii="宋体" w:hAnsi="宋体"/>
              </w:rPr>
            </w:pPr>
            <w:r>
              <w:rPr>
                <w:rFonts w:hint="eastAsia" w:ascii="宋体" w:hAnsi="宋体"/>
              </w:rPr>
              <w:t>漆膜均匀涂布。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6" w:type="dxa"/>
            <w:vAlign w:val="center"/>
          </w:tcPr>
          <w:p>
            <w:pPr>
              <w:jc w:val="center"/>
              <w:rPr>
                <w:rFonts w:ascii="宋体" w:hAnsi="宋体"/>
              </w:rPr>
            </w:pPr>
            <w:r>
              <w:rPr>
                <w:rFonts w:hint="eastAsia" w:ascii="宋体" w:hAnsi="宋体"/>
              </w:rPr>
              <w:t>起水泡</w:t>
            </w:r>
          </w:p>
        </w:tc>
        <w:tc>
          <w:tcPr>
            <w:tcW w:w="3666" w:type="dxa"/>
            <w:vAlign w:val="center"/>
          </w:tcPr>
          <w:p>
            <w:pPr>
              <w:spacing w:line="360" w:lineRule="auto"/>
              <w:jc w:val="center"/>
              <w:rPr>
                <w:rFonts w:ascii="宋体" w:hAnsi="宋体"/>
              </w:rPr>
            </w:pPr>
            <w:r>
              <w:rPr>
                <w:rFonts w:ascii="宋体" w:hAnsi="宋体"/>
              </w:rPr>
              <w:drawing>
                <wp:inline distT="0" distB="0" distL="0" distR="0">
                  <wp:extent cx="2171700" cy="1552575"/>
                  <wp:effectExtent l="19050" t="0" r="0" b="0"/>
                  <wp:docPr id="288" name="图片 1" descr="水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1" descr="水泡"/>
                          <pic:cNvPicPr>
                            <a:picLocks noChangeAspect="1" noChangeArrowheads="1"/>
                          </pic:cNvPicPr>
                        </pic:nvPicPr>
                        <pic:blipFill>
                          <a:blip r:embed="rId55"/>
                          <a:srcRect/>
                          <a:stretch>
                            <a:fillRect/>
                          </a:stretch>
                        </pic:blipFill>
                        <pic:spPr>
                          <a:xfrm>
                            <a:off x="0" y="0"/>
                            <a:ext cx="2171700" cy="1552575"/>
                          </a:xfrm>
                          <a:prstGeom prst="rect">
                            <a:avLst/>
                          </a:prstGeom>
                          <a:noFill/>
                          <a:ln w="9525">
                            <a:noFill/>
                            <a:miter lim="800000"/>
                            <a:headEnd/>
                            <a:tailEnd/>
                          </a:ln>
                        </pic:spPr>
                      </pic:pic>
                    </a:graphicData>
                  </a:graphic>
                </wp:inline>
              </w:drawing>
            </w:r>
          </w:p>
        </w:tc>
        <w:tc>
          <w:tcPr>
            <w:tcW w:w="3766" w:type="dxa"/>
            <w:vAlign w:val="center"/>
          </w:tcPr>
          <w:p>
            <w:pPr>
              <w:numPr>
                <w:ilvl w:val="0"/>
                <w:numId w:val="16"/>
              </w:numPr>
              <w:tabs>
                <w:tab w:val="left" w:pos="360"/>
              </w:tabs>
              <w:rPr>
                <w:rFonts w:ascii="宋体" w:hAnsi="宋体"/>
              </w:rPr>
            </w:pPr>
            <w:r>
              <w:rPr>
                <w:rFonts w:hint="eastAsia" w:ascii="宋体" w:hAnsi="宋体"/>
              </w:rPr>
              <w:t>施工前先以水份计协助判断；</w:t>
            </w:r>
          </w:p>
          <w:p>
            <w:pPr>
              <w:numPr>
                <w:ilvl w:val="0"/>
                <w:numId w:val="16"/>
              </w:numPr>
              <w:tabs>
                <w:tab w:val="left" w:pos="360"/>
              </w:tabs>
              <w:rPr>
                <w:rFonts w:ascii="宋体" w:hAnsi="宋体"/>
              </w:rPr>
            </w:pPr>
            <w:r>
              <w:rPr>
                <w:rFonts w:hint="eastAsia" w:ascii="宋体" w:hAnsi="宋体"/>
              </w:rPr>
              <w:t>水份及水压太高的地点应做防水层处理；</w:t>
            </w:r>
          </w:p>
          <w:p>
            <w:pPr>
              <w:numPr>
                <w:ilvl w:val="0"/>
                <w:numId w:val="16"/>
              </w:numPr>
              <w:tabs>
                <w:tab w:val="left" w:pos="360"/>
              </w:tabs>
              <w:rPr>
                <w:rFonts w:ascii="宋体" w:hAnsi="宋体"/>
              </w:rPr>
            </w:pPr>
            <w:r>
              <w:rPr>
                <w:rFonts w:hint="eastAsia" w:ascii="宋体" w:hAnsi="宋体"/>
              </w:rPr>
              <w:t>选择亲水性的环氧树脂底漆。</w:t>
            </w:r>
          </w:p>
        </w:tc>
      </w:tr>
    </w:tbl>
    <w:p>
      <w:pPr>
        <w:spacing w:before="120" w:beforeLines="50" w:line="360" w:lineRule="auto"/>
        <w:ind w:firstLine="240" w:firstLineChars="100"/>
        <w:jc w:val="left"/>
        <w:outlineLvl w:val="2"/>
        <w:rPr>
          <w:sz w:val="24"/>
        </w:rPr>
      </w:pPr>
      <w:r>
        <w:rPr>
          <w:rFonts w:hint="eastAsia"/>
          <w:sz w:val="24"/>
        </w:rPr>
        <w:t>(5) 验收要求</w:t>
      </w:r>
    </w:p>
    <w:p>
      <w:pPr>
        <w:spacing w:line="360" w:lineRule="auto"/>
        <w:ind w:firstLine="240" w:firstLineChars="100"/>
        <w:rPr>
          <w:sz w:val="24"/>
        </w:rPr>
      </w:pPr>
      <w:r>
        <w:rPr>
          <w:rFonts w:hint="eastAsia"/>
          <w:sz w:val="24"/>
        </w:rPr>
        <w:t>1)  分缝应按照深化设计图纸进行分格。</w:t>
      </w:r>
    </w:p>
    <w:p>
      <w:pPr>
        <w:spacing w:line="360" w:lineRule="auto"/>
        <w:ind w:firstLine="240" w:firstLineChars="100"/>
        <w:rPr>
          <w:sz w:val="24"/>
        </w:rPr>
      </w:pPr>
      <w:r>
        <w:rPr>
          <w:sz w:val="24"/>
        </w:rPr>
        <w:t>2</w:t>
      </w:r>
      <w:r>
        <w:rPr>
          <w:rFonts w:hint="eastAsia"/>
          <w:sz w:val="24"/>
        </w:rPr>
        <w:t>)  表面状况：平整光洁、色彩一致、无明显色差，不得有气泡、杂物、凸起、凹陷、针孔、裂缝、剥离等不良状况。</w:t>
      </w:r>
    </w:p>
    <w:p>
      <w:pPr>
        <w:spacing w:line="360" w:lineRule="auto"/>
        <w:rPr>
          <w:b/>
          <w:sz w:val="24"/>
        </w:rPr>
      </w:pPr>
      <w:r>
        <w:rPr>
          <w:rFonts w:hint="eastAsia"/>
          <w:b/>
          <w:sz w:val="24"/>
        </w:rPr>
        <w:t>6、木地板</w:t>
      </w:r>
    </w:p>
    <w:p>
      <w:pPr>
        <w:spacing w:before="120" w:beforeLines="50" w:line="360" w:lineRule="auto"/>
        <w:jc w:val="left"/>
        <w:outlineLvl w:val="2"/>
        <w:rPr>
          <w:b/>
          <w:sz w:val="24"/>
        </w:rPr>
      </w:pPr>
      <w:r>
        <w:rPr>
          <w:rFonts w:hint="eastAsia"/>
          <w:b/>
          <w:sz w:val="24"/>
        </w:rPr>
        <w:t>（1）</w:t>
      </w:r>
      <w:r>
        <w:rPr>
          <w:b/>
          <w:sz w:val="24"/>
        </w:rPr>
        <w:t xml:space="preserve"> </w:t>
      </w:r>
      <w:r>
        <w:rPr>
          <w:rFonts w:hint="eastAsia"/>
          <w:b/>
          <w:sz w:val="24"/>
        </w:rPr>
        <w:t>材料要求</w:t>
      </w:r>
    </w:p>
    <w:p>
      <w:pPr>
        <w:spacing w:line="360" w:lineRule="auto"/>
        <w:ind w:firstLine="240" w:firstLineChars="100"/>
        <w:rPr>
          <w:sz w:val="24"/>
        </w:rPr>
      </w:pPr>
      <w:r>
        <w:rPr>
          <w:sz w:val="24"/>
        </w:rPr>
        <w:t>1</w:t>
      </w:r>
      <w:r>
        <w:rPr>
          <w:rFonts w:hint="eastAsia"/>
          <w:sz w:val="24"/>
        </w:rPr>
        <w:t>）</w:t>
      </w:r>
      <w:r>
        <w:rPr>
          <w:sz w:val="24"/>
        </w:rPr>
        <w:t xml:space="preserve"> </w:t>
      </w:r>
      <w:r>
        <w:rPr>
          <w:rFonts w:hint="eastAsia"/>
          <w:sz w:val="24"/>
        </w:rPr>
        <w:t>强化复合木地板目前国内市场可以分为窄板（</w:t>
      </w:r>
      <w:r>
        <w:rPr>
          <w:sz w:val="24"/>
        </w:rPr>
        <w:t>190-195×1200～1300㎜</w:t>
      </w:r>
      <w:r>
        <w:rPr>
          <w:rFonts w:hint="eastAsia"/>
          <w:sz w:val="24"/>
        </w:rPr>
        <w:t>）和宽板（</w:t>
      </w:r>
      <w:r>
        <w:rPr>
          <w:sz w:val="24"/>
        </w:rPr>
        <w:t>295×1200</w:t>
      </w:r>
      <w:r>
        <w:rPr>
          <w:rFonts w:hint="eastAsia"/>
          <w:sz w:val="24"/>
        </w:rPr>
        <w:t>）两种，在设计无要求时，宜选择窄板，减少非标准板块裁剪量，降低材料损耗和减少现场加工产生的噪音、粉尘，节省电能。</w:t>
      </w:r>
    </w:p>
    <w:p>
      <w:pPr>
        <w:spacing w:line="360" w:lineRule="auto"/>
        <w:ind w:firstLine="240" w:firstLineChars="100"/>
        <w:rPr>
          <w:sz w:val="24"/>
        </w:rPr>
      </w:pPr>
      <w:r>
        <w:rPr>
          <w:sz w:val="24"/>
        </w:rPr>
        <w:t>2</w:t>
      </w:r>
      <w:r>
        <w:rPr>
          <w:rFonts w:hint="eastAsia"/>
          <w:sz w:val="24"/>
        </w:rPr>
        <w:t>）</w:t>
      </w:r>
      <w:r>
        <w:rPr>
          <w:sz w:val="24"/>
        </w:rPr>
        <w:t xml:space="preserve"> </w:t>
      </w:r>
      <w:r>
        <w:rPr>
          <w:rFonts w:hint="eastAsia"/>
          <w:sz w:val="24"/>
        </w:rPr>
        <w:t>强化复合木地板选用其甲醛含量符合</w:t>
      </w:r>
      <w:r>
        <w:rPr>
          <w:sz w:val="24"/>
        </w:rPr>
        <w:t>E0</w:t>
      </w:r>
      <w:r>
        <w:rPr>
          <w:rFonts w:hint="eastAsia"/>
          <w:sz w:val="24"/>
        </w:rPr>
        <w:t>（不得低于</w:t>
      </w:r>
      <w:r>
        <w:rPr>
          <w:sz w:val="24"/>
        </w:rPr>
        <w:t>E1</w:t>
      </w:r>
      <w:r>
        <w:rPr>
          <w:rFonts w:hint="eastAsia"/>
          <w:sz w:val="24"/>
        </w:rPr>
        <w:t>）标准。</w:t>
      </w:r>
    </w:p>
    <w:p>
      <w:pPr>
        <w:spacing w:line="360" w:lineRule="auto"/>
        <w:ind w:firstLine="240" w:firstLineChars="100"/>
        <w:rPr>
          <w:sz w:val="24"/>
        </w:rPr>
      </w:pPr>
      <w:r>
        <w:rPr>
          <w:sz w:val="24"/>
        </w:rPr>
        <w:t>3</w:t>
      </w:r>
      <w:r>
        <w:rPr>
          <w:rFonts w:hint="eastAsia"/>
          <w:sz w:val="24"/>
        </w:rPr>
        <w:t>）</w:t>
      </w:r>
      <w:r>
        <w:rPr>
          <w:sz w:val="24"/>
        </w:rPr>
        <w:t xml:space="preserve"> </w:t>
      </w:r>
      <w:r>
        <w:rPr>
          <w:rFonts w:hint="eastAsia"/>
          <w:sz w:val="24"/>
        </w:rPr>
        <w:t>宜选用再生木木地板代替强化复合木地板。</w:t>
      </w:r>
    </w:p>
    <w:p>
      <w:pPr>
        <w:spacing w:line="360" w:lineRule="auto"/>
        <w:ind w:firstLine="240" w:firstLineChars="100"/>
        <w:rPr>
          <w:sz w:val="24"/>
        </w:rPr>
      </w:pPr>
      <w:r>
        <w:rPr>
          <w:sz w:val="24"/>
        </w:rPr>
        <w:t>4</w:t>
      </w:r>
      <w:r>
        <w:rPr>
          <w:rFonts w:hint="eastAsia"/>
          <w:sz w:val="24"/>
        </w:rPr>
        <w:t>）</w:t>
      </w:r>
      <w:r>
        <w:rPr>
          <w:sz w:val="24"/>
        </w:rPr>
        <w:t xml:space="preserve"> </w:t>
      </w:r>
      <w:r>
        <w:rPr>
          <w:rFonts w:hint="eastAsia"/>
          <w:sz w:val="24"/>
        </w:rPr>
        <w:t>地板包装物采用可降解泡沫，减少对土地的污染。</w:t>
      </w:r>
    </w:p>
    <w:p>
      <w:pPr>
        <w:spacing w:before="120" w:beforeLines="50" w:line="360" w:lineRule="auto"/>
        <w:jc w:val="left"/>
        <w:outlineLvl w:val="2"/>
        <w:rPr>
          <w:b/>
          <w:sz w:val="24"/>
        </w:rPr>
      </w:pPr>
      <w:r>
        <w:rPr>
          <w:rFonts w:hint="eastAsia"/>
          <w:b/>
          <w:sz w:val="24"/>
        </w:rPr>
        <w:t>（2）</w:t>
      </w:r>
      <w:r>
        <w:rPr>
          <w:b/>
          <w:sz w:val="24"/>
        </w:rPr>
        <w:t xml:space="preserve"> </w:t>
      </w:r>
      <w:r>
        <w:rPr>
          <w:rFonts w:hint="eastAsia"/>
          <w:b/>
          <w:sz w:val="24"/>
        </w:rPr>
        <w:t>施工要求</w:t>
      </w:r>
    </w:p>
    <w:p>
      <w:pPr>
        <w:spacing w:line="360" w:lineRule="auto"/>
        <w:ind w:firstLine="240" w:firstLineChars="100"/>
        <w:rPr>
          <w:sz w:val="24"/>
        </w:rPr>
      </w:pPr>
      <w:r>
        <w:rPr>
          <w:rFonts w:hint="eastAsia"/>
          <w:sz w:val="24"/>
        </w:rPr>
        <w:t>1）</w:t>
      </w:r>
      <w:r>
        <w:rPr>
          <w:sz w:val="24"/>
        </w:rPr>
        <w:t xml:space="preserve"> </w:t>
      </w:r>
      <w:r>
        <w:rPr>
          <w:rFonts w:hint="eastAsia"/>
          <w:sz w:val="24"/>
        </w:rPr>
        <w:t>施工工序流程</w:t>
      </w:r>
    </w:p>
    <w:p>
      <w:pPr>
        <w:spacing w:line="360" w:lineRule="auto"/>
        <w:rPr>
          <w:sz w:val="24"/>
        </w:rPr>
      </w:pPr>
      <w:r>
        <w:rPr>
          <w:rFonts w:hint="eastAsia"/>
          <w:sz w:val="24"/>
        </w:rPr>
        <w:t>设置埋件→做防潮层→弹线→铺设木垫块、木格栅→填保温、隔声料→钉毛板→做成层板→刨平、刨光→打蜡→产品保护。</w:t>
      </w:r>
    </w:p>
    <w:p>
      <w:pPr>
        <w:spacing w:line="360" w:lineRule="auto"/>
        <w:ind w:firstLine="240" w:firstLineChars="100"/>
        <w:rPr>
          <w:sz w:val="24"/>
        </w:rPr>
      </w:pPr>
      <w:r>
        <w:rPr>
          <w:rFonts w:hint="eastAsia"/>
          <w:sz w:val="24"/>
        </w:rPr>
        <w:t>2）</w:t>
      </w:r>
      <w:r>
        <w:rPr>
          <w:sz w:val="24"/>
        </w:rPr>
        <w:t xml:space="preserve"> </w:t>
      </w:r>
      <w:r>
        <w:rPr>
          <w:rFonts w:hint="eastAsia"/>
          <w:sz w:val="24"/>
        </w:rPr>
        <w:t>操作要点</w:t>
      </w:r>
      <w:r>
        <w:rPr>
          <w:sz w:val="24"/>
        </w:rPr>
        <w:t xml:space="preserve"> </w:t>
      </w:r>
    </w:p>
    <w:p>
      <w:pPr>
        <w:spacing w:line="360" w:lineRule="auto"/>
        <w:ind w:firstLine="240" w:firstLineChars="100"/>
        <w:rPr>
          <w:sz w:val="24"/>
        </w:rPr>
      </w:pPr>
      <w:r>
        <w:rPr>
          <w:rFonts w:hint="eastAsia"/>
          <w:sz w:val="24"/>
        </w:rPr>
        <w:t>a）设埋件</w:t>
      </w:r>
    </w:p>
    <w:p>
      <w:pPr>
        <w:spacing w:line="360" w:lineRule="auto"/>
        <w:ind w:firstLine="240" w:firstLineChars="100"/>
        <w:rPr>
          <w:sz w:val="24"/>
        </w:rPr>
      </w:pPr>
      <w:r>
        <w:rPr>
          <w:rFonts w:hint="eastAsia"/>
          <w:sz w:val="24"/>
        </w:rPr>
        <w:t>b）埋件应采用膨胀螺栓固定于楼板上。</w:t>
      </w:r>
    </w:p>
    <w:p>
      <w:pPr>
        <w:spacing w:line="360" w:lineRule="auto"/>
        <w:ind w:firstLine="240" w:firstLineChars="100"/>
        <w:rPr>
          <w:sz w:val="24"/>
        </w:rPr>
      </w:pPr>
      <w:r>
        <w:rPr>
          <w:rFonts w:hint="eastAsia"/>
          <w:sz w:val="24"/>
        </w:rPr>
        <w:t>c）埋板之间的间距≤</w:t>
      </w:r>
      <w:r>
        <w:rPr>
          <w:sz w:val="24"/>
        </w:rPr>
        <w:t>40</w:t>
      </w:r>
      <w:r>
        <w:rPr>
          <w:rFonts w:ascii="宋体" w:hAnsi="宋体"/>
          <w:sz w:val="24"/>
        </w:rPr>
        <w:t>0</w:t>
      </w:r>
      <w:r>
        <w:rPr>
          <w:rFonts w:hint="eastAsia" w:ascii="宋体" w:hAnsi="宋体"/>
          <w:sz w:val="24"/>
        </w:rPr>
        <w:t>㎜</w:t>
      </w:r>
      <w:r>
        <w:rPr>
          <w:rFonts w:hint="eastAsia"/>
          <w:sz w:val="24"/>
        </w:rPr>
        <w:t>，另一方向间距根据设计确定的格栅间距定。</w:t>
      </w:r>
    </w:p>
    <w:p>
      <w:pPr>
        <w:spacing w:line="360" w:lineRule="auto"/>
        <w:ind w:firstLine="480" w:firstLineChars="200"/>
        <w:rPr>
          <w:sz w:val="24"/>
        </w:rPr>
      </w:pPr>
      <w:r>
        <w:rPr>
          <w:rFonts w:hint="eastAsia"/>
          <w:sz w:val="24"/>
        </w:rPr>
        <w:t>d）做防潮层：防潮层采用高分子涂膜防水材料</w:t>
      </w:r>
      <w:r>
        <w:rPr>
          <w:rFonts w:ascii="宋体" w:hAnsi="宋体"/>
          <w:sz w:val="24"/>
        </w:rPr>
        <w:t>1</w:t>
      </w:r>
      <w:r>
        <w:rPr>
          <w:rFonts w:hint="eastAsia" w:ascii="宋体" w:hAnsi="宋体"/>
          <w:sz w:val="24"/>
        </w:rPr>
        <w:t>㎜</w:t>
      </w:r>
      <w:r>
        <w:rPr>
          <w:rFonts w:hint="eastAsia"/>
          <w:sz w:val="24"/>
        </w:rPr>
        <w:t>厚，防潮层要无漏刷处，四周要向墙体翻起</w:t>
      </w:r>
      <w:r>
        <w:rPr>
          <w:sz w:val="24"/>
        </w:rPr>
        <w:t>10</w:t>
      </w:r>
      <w:r>
        <w:rPr>
          <w:rFonts w:ascii="宋体" w:hAnsi="宋体"/>
          <w:sz w:val="24"/>
        </w:rPr>
        <w:t>0</w:t>
      </w:r>
      <w:r>
        <w:rPr>
          <w:rFonts w:hint="eastAsia" w:ascii="宋体" w:hAnsi="宋体"/>
          <w:sz w:val="24"/>
        </w:rPr>
        <w:t>㎜</w:t>
      </w:r>
      <w:r>
        <w:rPr>
          <w:rFonts w:hint="eastAsia"/>
          <w:sz w:val="24"/>
        </w:rPr>
        <w:t>。防止潮气侵入地面层，引起木材变形，腐蚀等。</w:t>
      </w:r>
    </w:p>
    <w:p>
      <w:pPr>
        <w:spacing w:line="360" w:lineRule="auto"/>
        <w:ind w:firstLine="480" w:firstLineChars="200"/>
        <w:rPr>
          <w:sz w:val="24"/>
        </w:rPr>
      </w:pPr>
      <w:r>
        <w:rPr>
          <w:rFonts w:hint="eastAsia"/>
          <w:sz w:val="24"/>
        </w:rPr>
        <w:t>e）弹线：在安放垫木和木格栅前，应根据设计标高在墙面四周弹线以便打平木格栅的顶面高度。</w:t>
      </w:r>
    </w:p>
    <w:p>
      <w:pPr>
        <w:spacing w:line="360" w:lineRule="auto"/>
        <w:ind w:firstLine="480" w:firstLineChars="200"/>
        <w:rPr>
          <w:sz w:val="24"/>
        </w:rPr>
      </w:pPr>
      <w:r>
        <w:rPr>
          <w:rFonts w:hint="eastAsia"/>
          <w:sz w:val="24"/>
        </w:rPr>
        <w:t>f）铺设木垫块和木格栅</w:t>
      </w:r>
    </w:p>
    <w:p>
      <w:pPr>
        <w:spacing w:line="360" w:lineRule="auto"/>
        <w:ind w:firstLine="480" w:firstLineChars="200"/>
        <w:rPr>
          <w:sz w:val="24"/>
        </w:rPr>
      </w:pPr>
      <w:r>
        <w:rPr>
          <w:rFonts w:hint="eastAsia"/>
          <w:sz w:val="24"/>
        </w:rPr>
        <w:t>① 木格栅间距要根据使用木地板的模数，材质以及单层或双层铺贴等不同因素由设计确定，严格执行。</w:t>
      </w:r>
    </w:p>
    <w:p>
      <w:pPr>
        <w:spacing w:line="360" w:lineRule="auto"/>
        <w:ind w:firstLine="480" w:firstLineChars="200"/>
        <w:rPr>
          <w:sz w:val="24"/>
        </w:rPr>
      </w:pPr>
      <w:r>
        <w:rPr>
          <w:rFonts w:hint="eastAsia"/>
          <w:sz w:val="24"/>
        </w:rPr>
        <w:t>② 木垫块、木格栅使用前要进行浸于热柏油中的防腐处理、</w:t>
      </w:r>
    </w:p>
    <w:p>
      <w:pPr>
        <w:spacing w:line="360" w:lineRule="auto"/>
        <w:ind w:firstLine="480" w:firstLineChars="200"/>
        <w:rPr>
          <w:sz w:val="24"/>
        </w:rPr>
      </w:pPr>
      <w:r>
        <w:rPr>
          <w:rFonts w:hint="eastAsia"/>
          <w:sz w:val="24"/>
        </w:rPr>
        <w:t>③ 木格栅之间应设置横撑，间距≤</w:t>
      </w:r>
      <w:r>
        <w:rPr>
          <w:sz w:val="24"/>
        </w:rPr>
        <w:t>15</w:t>
      </w:r>
      <w:r>
        <w:rPr>
          <w:rFonts w:ascii="宋体" w:hAnsi="宋体"/>
          <w:sz w:val="24"/>
        </w:rPr>
        <w:t>0</w:t>
      </w:r>
      <w:r>
        <w:rPr>
          <w:rFonts w:hint="eastAsia" w:ascii="宋体" w:hAnsi="宋体"/>
          <w:sz w:val="24"/>
        </w:rPr>
        <w:t>㎜</w:t>
      </w:r>
      <w:r>
        <w:rPr>
          <w:rFonts w:hint="eastAsia"/>
          <w:sz w:val="24"/>
        </w:rPr>
        <w:t>，与格栅垂直相交，用铁钉固定。</w:t>
      </w:r>
    </w:p>
    <w:p>
      <w:pPr>
        <w:spacing w:line="360" w:lineRule="auto"/>
        <w:ind w:firstLine="480" w:firstLineChars="200"/>
        <w:rPr>
          <w:sz w:val="24"/>
        </w:rPr>
      </w:pPr>
      <w:r>
        <w:rPr>
          <w:rFonts w:hint="eastAsia"/>
          <w:sz w:val="24"/>
        </w:rPr>
        <w:t>g）填保温、隔声材料：在格栅与格栅之间的空档中，填充厚</w:t>
      </w:r>
      <w:r>
        <w:rPr>
          <w:sz w:val="24"/>
        </w:rPr>
        <w:t>4</w:t>
      </w:r>
      <w:r>
        <w:rPr>
          <w:rFonts w:ascii="宋体" w:hAnsi="宋体"/>
          <w:sz w:val="24"/>
        </w:rPr>
        <w:t>0</w:t>
      </w:r>
      <w:r>
        <w:rPr>
          <w:rFonts w:hint="eastAsia" w:ascii="宋体" w:hAnsi="宋体"/>
          <w:sz w:val="24"/>
        </w:rPr>
        <w:t>㎜</w:t>
      </w:r>
      <w:r>
        <w:rPr>
          <w:rFonts w:hint="eastAsia"/>
          <w:sz w:val="24"/>
        </w:rPr>
        <w:t>的矿棉玻璃棉吸音，保温材料，减少人在地板上行走时产生的空鼓音。填充材料不得高于格栅表面。</w:t>
      </w:r>
    </w:p>
    <w:p>
      <w:pPr>
        <w:spacing w:line="360" w:lineRule="auto"/>
        <w:ind w:firstLine="480" w:firstLineChars="200"/>
        <w:rPr>
          <w:sz w:val="24"/>
        </w:rPr>
      </w:pPr>
      <w:r>
        <w:rPr>
          <w:rFonts w:hint="eastAsia"/>
          <w:sz w:val="24"/>
        </w:rPr>
        <w:t>h）钉毛地板：如果双层做法，毛地板直接钉于木格栅上。单层做法，此项取消。</w:t>
      </w:r>
    </w:p>
    <w:p>
      <w:pPr>
        <w:spacing w:line="360" w:lineRule="auto"/>
        <w:ind w:firstLine="480" w:firstLineChars="200"/>
        <w:rPr>
          <w:sz w:val="24"/>
        </w:rPr>
      </w:pPr>
      <w:r>
        <w:rPr>
          <w:rFonts w:hint="eastAsia"/>
          <w:sz w:val="24"/>
        </w:rPr>
        <w:t>i）做面层板</w:t>
      </w:r>
    </w:p>
    <w:p>
      <w:pPr>
        <w:spacing w:line="360" w:lineRule="auto"/>
        <w:ind w:firstLine="480" w:firstLineChars="200"/>
        <w:rPr>
          <w:sz w:val="24"/>
        </w:rPr>
      </w:pPr>
      <w:r>
        <w:rPr>
          <w:rFonts w:hint="eastAsia"/>
          <w:sz w:val="24"/>
        </w:rPr>
        <w:t>① 条形木地板应顺着长度方向铺设。</w:t>
      </w:r>
    </w:p>
    <w:p>
      <w:pPr>
        <w:spacing w:line="360" w:lineRule="auto"/>
        <w:ind w:firstLine="480" w:firstLineChars="200"/>
        <w:rPr>
          <w:sz w:val="24"/>
        </w:rPr>
      </w:pPr>
      <w:r>
        <w:rPr>
          <w:rFonts w:hint="eastAsia"/>
          <w:sz w:val="24"/>
        </w:rPr>
        <w:t xml:space="preserve">② </w:t>
      </w:r>
      <w:r>
        <w:rPr>
          <w:sz w:val="24"/>
        </w:rPr>
        <w:t>面层地板的固定，分二种情况。如果单层铺贴，与木格栅垂直铺设，并用元钉将其固定在格栅上，如果双层铺贴，为防止使用中发生音响和潮气侵蚀，应在毛地板上先铺一层沥青油毡，将面层板直接钉于毛地板上。</w:t>
      </w:r>
    </w:p>
    <w:p>
      <w:pPr>
        <w:spacing w:line="360" w:lineRule="auto"/>
        <w:ind w:firstLine="480" w:firstLineChars="200"/>
        <w:rPr>
          <w:sz w:val="24"/>
        </w:rPr>
      </w:pPr>
      <w:r>
        <w:rPr>
          <w:rFonts w:hint="eastAsia"/>
          <w:sz w:val="24"/>
        </w:rPr>
        <w:t xml:space="preserve">③ </w:t>
      </w:r>
      <w:r>
        <w:rPr>
          <w:sz w:val="24"/>
        </w:rPr>
        <w:t>条形木地板铺贴，以墙一侧开始，将条心木板材心向上逐块排紧铺钉，缝隙不</w:t>
      </w:r>
      <w:r>
        <w:rPr>
          <w:rFonts w:hint="eastAsia"/>
          <w:sz w:val="24"/>
        </w:rPr>
        <w:t>大于</w:t>
      </w:r>
      <w:r>
        <w:rPr>
          <w:sz w:val="24"/>
        </w:rPr>
        <w:t>1</w:t>
      </w:r>
      <w:r>
        <w:rPr>
          <w:rFonts w:hAnsi="宋体"/>
          <w:sz w:val="24"/>
        </w:rPr>
        <w:t>㎜</w:t>
      </w:r>
      <w:r>
        <w:rPr>
          <w:sz w:val="24"/>
        </w:rPr>
        <w:t>。板的接口应在木格栅上。圆钉的长度为板厚的2.0～2.5倍。铺钉前应先钻孔，孔径为钉径的0.7～0.8倍。</w:t>
      </w:r>
    </w:p>
    <w:p>
      <w:pPr>
        <w:spacing w:line="360" w:lineRule="auto"/>
        <w:ind w:firstLine="480" w:firstLineChars="200"/>
        <w:rPr>
          <w:sz w:val="24"/>
        </w:rPr>
      </w:pPr>
      <w:r>
        <w:rPr>
          <w:rFonts w:hint="eastAsia"/>
          <w:sz w:val="24"/>
        </w:rPr>
        <w:t xml:space="preserve">④ </w:t>
      </w:r>
      <w:r>
        <w:rPr>
          <w:sz w:val="24"/>
        </w:rPr>
        <w:t>用钉固定，先将钉帽砸扁，从板边的凹角处，斜向钉入。钉子与板表面呈45度或60度角斜向钉入。</w:t>
      </w:r>
    </w:p>
    <w:p>
      <w:pPr>
        <w:spacing w:line="360" w:lineRule="auto"/>
        <w:ind w:firstLine="480" w:firstLineChars="200"/>
        <w:rPr>
          <w:sz w:val="24"/>
        </w:rPr>
      </w:pPr>
      <w:r>
        <w:rPr>
          <w:rFonts w:hint="eastAsia"/>
          <w:sz w:val="24"/>
        </w:rPr>
        <w:t xml:space="preserve">⑤ </w:t>
      </w:r>
      <w:r>
        <w:rPr>
          <w:sz w:val="24"/>
        </w:rPr>
        <w:t>木地板靠墙处留出15</w:t>
      </w:r>
      <w:r>
        <w:rPr>
          <w:rFonts w:hAnsi="宋体"/>
          <w:sz w:val="24"/>
        </w:rPr>
        <w:t>㎜</w:t>
      </w:r>
      <w:r>
        <w:rPr>
          <w:sz w:val="24"/>
        </w:rPr>
        <w:t>空隙，以利通风，在地板和踢脚板相处，如安装封闭木压条，则应在木踢脚板上留通风口。</w:t>
      </w:r>
    </w:p>
    <w:p>
      <w:pPr>
        <w:spacing w:line="360" w:lineRule="auto"/>
        <w:ind w:firstLine="480" w:firstLineChars="200"/>
        <w:rPr>
          <w:sz w:val="24"/>
        </w:rPr>
      </w:pPr>
      <w:r>
        <w:rPr>
          <w:rFonts w:hint="eastAsia" w:ascii="宋体" w:hAnsi="宋体" w:cs="宋体"/>
          <w:sz w:val="24"/>
        </w:rPr>
        <w:t xml:space="preserve">⑥ </w:t>
      </w:r>
      <w:r>
        <w:rPr>
          <w:sz w:val="24"/>
        </w:rPr>
        <w:t>刨平、刨光：刨平、刨光应采用磨光机进行磨光机推速要均匀。</w:t>
      </w:r>
    </w:p>
    <w:p>
      <w:pPr>
        <w:spacing w:before="120" w:beforeLines="50" w:line="360" w:lineRule="auto"/>
        <w:jc w:val="left"/>
        <w:outlineLvl w:val="2"/>
        <w:rPr>
          <w:b/>
          <w:sz w:val="24"/>
        </w:rPr>
      </w:pPr>
      <w:r>
        <w:rPr>
          <w:rFonts w:hint="eastAsia"/>
          <w:b/>
          <w:sz w:val="24"/>
        </w:rPr>
        <w:t>（3）</w:t>
      </w:r>
      <w:r>
        <w:rPr>
          <w:b/>
          <w:sz w:val="24"/>
        </w:rPr>
        <w:t xml:space="preserve"> </w:t>
      </w:r>
      <w:r>
        <w:rPr>
          <w:rFonts w:hint="eastAsia"/>
          <w:b/>
          <w:sz w:val="24"/>
        </w:rPr>
        <w:t>工程实例</w:t>
      </w:r>
    </w:p>
    <w:tbl>
      <w:tblPr>
        <w:tblStyle w:val="43"/>
        <w:tblW w:w="8273" w:type="dxa"/>
        <w:jc w:val="center"/>
        <w:tblInd w:w="0" w:type="dxa"/>
        <w:tblLayout w:type="fixed"/>
        <w:tblCellMar>
          <w:top w:w="0" w:type="dxa"/>
          <w:left w:w="108" w:type="dxa"/>
          <w:bottom w:w="0" w:type="dxa"/>
          <w:right w:w="108" w:type="dxa"/>
        </w:tblCellMar>
      </w:tblPr>
      <w:tblGrid>
        <w:gridCol w:w="4123"/>
        <w:gridCol w:w="4150"/>
      </w:tblGrid>
      <w:tr>
        <w:tblPrEx>
          <w:tblLayout w:type="fixed"/>
          <w:tblCellMar>
            <w:top w:w="0" w:type="dxa"/>
            <w:left w:w="108" w:type="dxa"/>
            <w:bottom w:w="0" w:type="dxa"/>
            <w:right w:w="108" w:type="dxa"/>
          </w:tblCellMar>
        </w:tblPrEx>
        <w:trPr>
          <w:jc w:val="center"/>
        </w:trPr>
        <w:tc>
          <w:tcPr>
            <w:tcW w:w="4123" w:type="dxa"/>
            <w:tcMar>
              <w:left w:w="28" w:type="dxa"/>
              <w:right w:w="28" w:type="dxa"/>
            </w:tcMar>
          </w:tcPr>
          <w:p>
            <w:pPr>
              <w:jc w:val="center"/>
            </w:pPr>
            <w:r>
              <w:drawing>
                <wp:inline distT="0" distB="0" distL="0" distR="0">
                  <wp:extent cx="2933700" cy="2095500"/>
                  <wp:effectExtent l="19050" t="0" r="0" b="0"/>
                  <wp:docPr id="289" name="图片 1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18" descr="图片"/>
                          <pic:cNvPicPr>
                            <a:picLocks noChangeAspect="1" noChangeArrowheads="1"/>
                          </pic:cNvPicPr>
                        </pic:nvPicPr>
                        <pic:blipFill>
                          <a:blip r:embed="rId56"/>
                          <a:srcRect/>
                          <a:stretch>
                            <a:fillRect/>
                          </a:stretch>
                        </pic:blipFill>
                        <pic:spPr>
                          <a:xfrm>
                            <a:off x="0" y="0"/>
                            <a:ext cx="2933700" cy="2095500"/>
                          </a:xfrm>
                          <a:prstGeom prst="rect">
                            <a:avLst/>
                          </a:prstGeom>
                          <a:noFill/>
                          <a:ln w="9525">
                            <a:noFill/>
                            <a:miter lim="800000"/>
                            <a:headEnd/>
                            <a:tailEnd/>
                          </a:ln>
                        </pic:spPr>
                      </pic:pic>
                    </a:graphicData>
                  </a:graphic>
                </wp:inline>
              </w:drawing>
            </w:r>
          </w:p>
        </w:tc>
        <w:tc>
          <w:tcPr>
            <w:tcW w:w="4150" w:type="dxa"/>
            <w:tcMar>
              <w:left w:w="28" w:type="dxa"/>
              <w:right w:w="28" w:type="dxa"/>
            </w:tcMar>
          </w:tcPr>
          <w:p>
            <w:pPr>
              <w:jc w:val="center"/>
            </w:pPr>
            <w:r>
              <w:drawing>
                <wp:inline distT="0" distB="0" distL="0" distR="0">
                  <wp:extent cx="2933700" cy="2143125"/>
                  <wp:effectExtent l="19050" t="0" r="0" b="0"/>
                  <wp:docPr id="290" name="图片 2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1" descr="图片"/>
                          <pic:cNvPicPr>
                            <a:picLocks noChangeAspect="1" noChangeArrowheads="1"/>
                          </pic:cNvPicPr>
                        </pic:nvPicPr>
                        <pic:blipFill>
                          <a:blip r:embed="rId57"/>
                          <a:srcRect/>
                          <a:stretch>
                            <a:fillRect/>
                          </a:stretch>
                        </pic:blipFill>
                        <pic:spPr>
                          <a:xfrm>
                            <a:off x="0" y="0"/>
                            <a:ext cx="2933700" cy="2143125"/>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pPr>
            <w:r>
              <w:rPr>
                <w:rFonts w:hint="eastAsia"/>
                <w:szCs w:val="21"/>
              </w:rPr>
              <w:t>基层放线及找平</w:t>
            </w:r>
          </w:p>
        </w:tc>
        <w:tc>
          <w:tcPr>
            <w:tcW w:w="4150" w:type="dxa"/>
            <w:tcMar>
              <w:left w:w="28" w:type="dxa"/>
              <w:right w:w="28" w:type="dxa"/>
            </w:tcMar>
          </w:tcPr>
          <w:p>
            <w:pPr>
              <w:pStyle w:val="93"/>
              <w:spacing w:line="240" w:lineRule="auto"/>
            </w:pPr>
            <w:r>
              <w:rPr>
                <w:rFonts w:hint="eastAsia"/>
                <w:szCs w:val="21"/>
              </w:rPr>
              <w:t>基层防潮处理</w:t>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rPr>
                <w:szCs w:val="21"/>
              </w:rPr>
            </w:pPr>
            <w:r>
              <w:drawing>
                <wp:inline distT="0" distB="0" distL="0" distR="0">
                  <wp:extent cx="2924175" cy="2085975"/>
                  <wp:effectExtent l="19050" t="0" r="9525" b="0"/>
                  <wp:docPr id="291" name="图片 2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4" descr="图片"/>
                          <pic:cNvPicPr>
                            <a:picLocks noChangeAspect="1" noChangeArrowheads="1"/>
                          </pic:cNvPicPr>
                        </pic:nvPicPr>
                        <pic:blipFill>
                          <a:blip r:embed="rId58"/>
                          <a:srcRect/>
                          <a:stretch>
                            <a:fillRect/>
                          </a:stretch>
                        </pic:blipFill>
                        <pic:spPr>
                          <a:xfrm>
                            <a:off x="0" y="0"/>
                            <a:ext cx="2924175" cy="2085975"/>
                          </a:xfrm>
                          <a:prstGeom prst="rect">
                            <a:avLst/>
                          </a:prstGeom>
                          <a:noFill/>
                          <a:ln w="9525">
                            <a:noFill/>
                            <a:miter lim="800000"/>
                            <a:headEnd/>
                            <a:tailEnd/>
                          </a:ln>
                        </pic:spPr>
                      </pic:pic>
                    </a:graphicData>
                  </a:graphic>
                </wp:inline>
              </w:drawing>
            </w:r>
          </w:p>
        </w:tc>
        <w:tc>
          <w:tcPr>
            <w:tcW w:w="4150" w:type="dxa"/>
            <w:tcMar>
              <w:left w:w="28" w:type="dxa"/>
              <w:right w:w="28" w:type="dxa"/>
            </w:tcMar>
          </w:tcPr>
          <w:p>
            <w:pPr>
              <w:pStyle w:val="93"/>
              <w:spacing w:line="240" w:lineRule="auto"/>
              <w:rPr>
                <w:szCs w:val="21"/>
              </w:rPr>
            </w:pPr>
            <w:r>
              <w:drawing>
                <wp:inline distT="0" distB="0" distL="0" distR="0">
                  <wp:extent cx="2933700" cy="2085975"/>
                  <wp:effectExtent l="19050" t="0" r="0" b="0"/>
                  <wp:docPr id="292" name="图片 3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30" descr="图片"/>
                          <pic:cNvPicPr>
                            <a:picLocks noChangeAspect="1" noChangeArrowheads="1"/>
                          </pic:cNvPicPr>
                        </pic:nvPicPr>
                        <pic:blipFill>
                          <a:blip r:embed="rId59"/>
                          <a:srcRect/>
                          <a:stretch>
                            <a:fillRect/>
                          </a:stretch>
                        </pic:blipFill>
                        <pic:spPr>
                          <a:xfrm>
                            <a:off x="0" y="0"/>
                            <a:ext cx="2933700" cy="2085975"/>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rPr>
                <w:szCs w:val="21"/>
              </w:rPr>
            </w:pPr>
            <w:r>
              <w:rPr>
                <w:rFonts w:hint="eastAsia"/>
                <w:szCs w:val="21"/>
              </w:rPr>
              <w:t>基层板伸缩处理</w:t>
            </w:r>
          </w:p>
        </w:tc>
        <w:tc>
          <w:tcPr>
            <w:tcW w:w="4150" w:type="dxa"/>
            <w:tcMar>
              <w:left w:w="28" w:type="dxa"/>
              <w:right w:w="28" w:type="dxa"/>
            </w:tcMar>
          </w:tcPr>
          <w:p>
            <w:pPr>
              <w:pStyle w:val="93"/>
              <w:spacing w:line="240" w:lineRule="auto"/>
              <w:rPr>
                <w:szCs w:val="21"/>
              </w:rPr>
            </w:pPr>
            <w:r>
              <w:rPr>
                <w:rFonts w:hint="eastAsia"/>
                <w:szCs w:val="21"/>
              </w:rPr>
              <w:t>踢脚线安装</w:t>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rPr>
                <w:szCs w:val="21"/>
              </w:rPr>
            </w:pPr>
            <w:r>
              <w:drawing>
                <wp:inline distT="0" distB="0" distL="0" distR="0">
                  <wp:extent cx="2905125" cy="2171700"/>
                  <wp:effectExtent l="19050" t="0" r="9525" b="0"/>
                  <wp:docPr id="293" name="图片 3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33" descr="图片"/>
                          <pic:cNvPicPr>
                            <a:picLocks noChangeAspect="1" noChangeArrowheads="1"/>
                          </pic:cNvPicPr>
                        </pic:nvPicPr>
                        <pic:blipFill>
                          <a:blip r:embed="rId60"/>
                          <a:srcRect/>
                          <a:stretch>
                            <a:fillRect/>
                          </a:stretch>
                        </pic:blipFill>
                        <pic:spPr>
                          <a:xfrm>
                            <a:off x="0" y="0"/>
                            <a:ext cx="2905125" cy="2171700"/>
                          </a:xfrm>
                          <a:prstGeom prst="rect">
                            <a:avLst/>
                          </a:prstGeom>
                          <a:noFill/>
                          <a:ln w="9525">
                            <a:noFill/>
                            <a:miter lim="800000"/>
                            <a:headEnd/>
                            <a:tailEnd/>
                          </a:ln>
                        </pic:spPr>
                      </pic:pic>
                    </a:graphicData>
                  </a:graphic>
                </wp:inline>
              </w:drawing>
            </w:r>
          </w:p>
        </w:tc>
        <w:tc>
          <w:tcPr>
            <w:tcW w:w="4150" w:type="dxa"/>
            <w:tcMar>
              <w:left w:w="28" w:type="dxa"/>
              <w:right w:w="28" w:type="dxa"/>
            </w:tcMar>
          </w:tcPr>
          <w:p>
            <w:pPr>
              <w:pStyle w:val="93"/>
              <w:spacing w:line="240" w:lineRule="auto"/>
              <w:rPr>
                <w:szCs w:val="21"/>
              </w:rPr>
            </w:pPr>
            <w:r>
              <w:drawing>
                <wp:inline distT="0" distB="0" distL="0" distR="0">
                  <wp:extent cx="2952750" cy="2124075"/>
                  <wp:effectExtent l="19050" t="0" r="0" b="0"/>
                  <wp:docPr id="294" name="图片 3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36" descr="图片"/>
                          <pic:cNvPicPr>
                            <a:picLocks noChangeAspect="1" noChangeArrowheads="1"/>
                          </pic:cNvPicPr>
                        </pic:nvPicPr>
                        <pic:blipFill>
                          <a:blip r:embed="rId61"/>
                          <a:srcRect/>
                          <a:stretch>
                            <a:fillRect/>
                          </a:stretch>
                        </pic:blipFill>
                        <pic:spPr>
                          <a:xfrm>
                            <a:off x="0" y="0"/>
                            <a:ext cx="2952750" cy="2124075"/>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rPr>
                <w:szCs w:val="21"/>
              </w:rPr>
            </w:pPr>
            <w:r>
              <w:rPr>
                <w:rFonts w:hint="eastAsia"/>
                <w:szCs w:val="21"/>
              </w:rPr>
              <w:t>地板面板预排</w:t>
            </w:r>
          </w:p>
        </w:tc>
        <w:tc>
          <w:tcPr>
            <w:tcW w:w="4150" w:type="dxa"/>
            <w:tcMar>
              <w:left w:w="28" w:type="dxa"/>
              <w:right w:w="28" w:type="dxa"/>
            </w:tcMar>
          </w:tcPr>
          <w:p>
            <w:pPr>
              <w:pStyle w:val="93"/>
              <w:spacing w:line="240" w:lineRule="auto"/>
              <w:rPr>
                <w:szCs w:val="21"/>
              </w:rPr>
            </w:pPr>
            <w:r>
              <w:rPr>
                <w:rFonts w:hint="eastAsia"/>
                <w:szCs w:val="21"/>
              </w:rPr>
              <w:t>地板安装完成品</w:t>
            </w:r>
          </w:p>
        </w:tc>
      </w:tr>
      <w:tr>
        <w:tblPrEx>
          <w:tblLayout w:type="fixed"/>
          <w:tblCellMar>
            <w:top w:w="0" w:type="dxa"/>
            <w:left w:w="108" w:type="dxa"/>
            <w:bottom w:w="0" w:type="dxa"/>
            <w:right w:w="108" w:type="dxa"/>
          </w:tblCellMar>
        </w:tblPrEx>
        <w:trPr>
          <w:jc w:val="center"/>
        </w:trPr>
        <w:tc>
          <w:tcPr>
            <w:tcW w:w="4123" w:type="dxa"/>
            <w:tcMar>
              <w:left w:w="28" w:type="dxa"/>
              <w:right w:w="28" w:type="dxa"/>
            </w:tcMar>
          </w:tcPr>
          <w:p>
            <w:pPr>
              <w:pStyle w:val="93"/>
              <w:spacing w:line="240" w:lineRule="auto"/>
              <w:rPr>
                <w:szCs w:val="21"/>
              </w:rPr>
            </w:pPr>
            <w:r>
              <w:rPr>
                <w:szCs w:val="21"/>
              </w:rPr>
              <w:drawing>
                <wp:inline distT="0" distB="0" distL="0" distR="0">
                  <wp:extent cx="2809875" cy="2114550"/>
                  <wp:effectExtent l="19050" t="0" r="9525" b="0"/>
                  <wp:docPr id="295" name="图片 4" descr="IMG_7490_1_2_tonemapp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图片 4" descr="IMG_7490_1_2_tonemapped"/>
                          <pic:cNvPicPr>
                            <a:picLocks noChangeAspect="1" noChangeArrowheads="1"/>
                          </pic:cNvPicPr>
                        </pic:nvPicPr>
                        <pic:blipFill>
                          <a:blip r:embed="rId62"/>
                          <a:srcRect/>
                          <a:stretch>
                            <a:fillRect/>
                          </a:stretch>
                        </pic:blipFill>
                        <pic:spPr>
                          <a:xfrm>
                            <a:off x="0" y="0"/>
                            <a:ext cx="2809875" cy="2114550"/>
                          </a:xfrm>
                          <a:prstGeom prst="rect">
                            <a:avLst/>
                          </a:prstGeom>
                          <a:noFill/>
                          <a:ln w="9525">
                            <a:noFill/>
                            <a:miter lim="800000"/>
                            <a:headEnd/>
                            <a:tailEnd/>
                          </a:ln>
                        </pic:spPr>
                      </pic:pic>
                    </a:graphicData>
                  </a:graphic>
                </wp:inline>
              </w:drawing>
            </w:r>
          </w:p>
        </w:tc>
        <w:tc>
          <w:tcPr>
            <w:tcW w:w="4150" w:type="dxa"/>
            <w:tcMar>
              <w:left w:w="28" w:type="dxa"/>
              <w:right w:w="28" w:type="dxa"/>
            </w:tcMar>
          </w:tcPr>
          <w:p>
            <w:pPr>
              <w:pStyle w:val="93"/>
              <w:spacing w:line="240" w:lineRule="auto"/>
              <w:rPr>
                <w:szCs w:val="21"/>
              </w:rPr>
            </w:pPr>
            <w:r>
              <w:rPr>
                <w:szCs w:val="21"/>
              </w:rPr>
              <w:drawing>
                <wp:inline distT="0" distB="0" distL="0" distR="0">
                  <wp:extent cx="2809875" cy="2114550"/>
                  <wp:effectExtent l="19050" t="0" r="9525" b="0"/>
                  <wp:docPr id="296" name="Picture 2" descr="档案馆实木地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 descr="档案馆实木地板"/>
                          <pic:cNvPicPr>
                            <a:picLocks noChangeAspect="1" noChangeArrowheads="1"/>
                          </pic:cNvPicPr>
                        </pic:nvPicPr>
                        <pic:blipFill>
                          <a:blip r:embed="rId63"/>
                          <a:srcRect/>
                          <a:stretch>
                            <a:fillRect/>
                          </a:stretch>
                        </pic:blipFill>
                        <pic:spPr>
                          <a:xfrm>
                            <a:off x="0" y="0"/>
                            <a:ext cx="2809875" cy="2114550"/>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8273" w:type="dxa"/>
            <w:gridSpan w:val="2"/>
            <w:tcMar>
              <w:left w:w="28" w:type="dxa"/>
              <w:right w:w="28" w:type="dxa"/>
            </w:tcMar>
          </w:tcPr>
          <w:p>
            <w:pPr>
              <w:pStyle w:val="93"/>
              <w:spacing w:line="240" w:lineRule="auto"/>
              <w:rPr>
                <w:szCs w:val="21"/>
              </w:rPr>
            </w:pPr>
            <w:r>
              <w:rPr>
                <w:rFonts w:hint="eastAsia"/>
                <w:bCs/>
                <w:szCs w:val="21"/>
              </w:rPr>
              <w:t>实木地板表面平整、洁净铺设牢固，粘接无空鼓，面层缝隙严密</w:t>
            </w:r>
          </w:p>
        </w:tc>
      </w:tr>
    </w:tbl>
    <w:p>
      <w:pPr>
        <w:spacing w:before="120" w:beforeLines="50" w:line="360" w:lineRule="auto"/>
        <w:jc w:val="left"/>
        <w:outlineLvl w:val="2"/>
        <w:rPr>
          <w:b/>
          <w:sz w:val="24"/>
        </w:rPr>
      </w:pPr>
      <w:r>
        <w:rPr>
          <w:rFonts w:hint="eastAsia"/>
          <w:b/>
          <w:sz w:val="24"/>
        </w:rPr>
        <w:t>（4）</w:t>
      </w:r>
      <w:r>
        <w:rPr>
          <w:b/>
          <w:sz w:val="24"/>
        </w:rPr>
        <w:t xml:space="preserve">  </w:t>
      </w:r>
      <w:r>
        <w:rPr>
          <w:rFonts w:hint="eastAsia"/>
          <w:b/>
          <w:sz w:val="24"/>
        </w:rPr>
        <w:t>质量通病防治</w:t>
      </w:r>
    </w:p>
    <w:p>
      <w:pPr>
        <w:jc w:val="center"/>
        <w:rPr>
          <w:rFonts w:ascii="黑体" w:eastAsia="黑体"/>
        </w:rPr>
      </w:pPr>
      <w:r>
        <w:rPr>
          <w:rFonts w:hint="eastAsia" w:ascii="黑体" w:eastAsia="黑体"/>
        </w:rPr>
        <w:t>表</w:t>
      </w:r>
      <w:r>
        <w:rPr>
          <w:rFonts w:ascii="黑体" w:eastAsia="黑体"/>
        </w:rPr>
        <w:t xml:space="preserve">3.2.5-1  </w:t>
      </w:r>
      <w:r>
        <w:rPr>
          <w:rFonts w:hint="eastAsia" w:ascii="黑体" w:eastAsia="黑体"/>
        </w:rPr>
        <w:t>石材安装质量通病与防治</w:t>
      </w:r>
    </w:p>
    <w:tbl>
      <w:tblPr>
        <w:tblStyle w:val="43"/>
        <w:tblW w:w="98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98"/>
        <w:gridCol w:w="828"/>
        <w:gridCol w:w="4536"/>
        <w:gridCol w:w="37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18" w:hRule="atLeast"/>
          <w:tblHeader/>
        </w:trPr>
        <w:tc>
          <w:tcPr>
            <w:tcW w:w="698" w:type="dxa"/>
            <w:vAlign w:val="center"/>
          </w:tcPr>
          <w:p>
            <w:pPr>
              <w:jc w:val="center"/>
              <w:rPr>
                <w:rFonts w:ascii="宋体"/>
                <w:szCs w:val="21"/>
              </w:rPr>
            </w:pPr>
            <w:r>
              <w:rPr>
                <w:rFonts w:hint="eastAsia" w:ascii="宋体" w:hAnsi="宋体"/>
                <w:szCs w:val="21"/>
              </w:rPr>
              <w:t>序号</w:t>
            </w:r>
          </w:p>
        </w:tc>
        <w:tc>
          <w:tcPr>
            <w:tcW w:w="828" w:type="dxa"/>
            <w:vAlign w:val="center"/>
          </w:tcPr>
          <w:p>
            <w:pPr>
              <w:jc w:val="center"/>
              <w:rPr>
                <w:rFonts w:ascii="宋体"/>
                <w:szCs w:val="21"/>
              </w:rPr>
            </w:pPr>
            <w:r>
              <w:rPr>
                <w:rFonts w:hint="eastAsia" w:ascii="宋体" w:hAnsi="宋体"/>
                <w:szCs w:val="21"/>
              </w:rPr>
              <w:t>质量</w:t>
            </w:r>
          </w:p>
          <w:p>
            <w:pPr>
              <w:jc w:val="center"/>
              <w:rPr>
                <w:rFonts w:ascii="宋体"/>
                <w:szCs w:val="21"/>
              </w:rPr>
            </w:pPr>
            <w:r>
              <w:rPr>
                <w:rFonts w:hint="eastAsia" w:ascii="宋体" w:hAnsi="宋体"/>
                <w:szCs w:val="21"/>
              </w:rPr>
              <w:t>通病</w:t>
            </w:r>
          </w:p>
        </w:tc>
        <w:tc>
          <w:tcPr>
            <w:tcW w:w="4536" w:type="dxa"/>
            <w:vAlign w:val="center"/>
          </w:tcPr>
          <w:p>
            <w:pPr>
              <w:jc w:val="center"/>
              <w:rPr>
                <w:rFonts w:ascii="宋体"/>
                <w:szCs w:val="21"/>
              </w:rPr>
            </w:pPr>
            <w:r>
              <w:rPr>
                <w:rFonts w:hint="eastAsia" w:ascii="宋体" w:hAnsi="宋体"/>
                <w:szCs w:val="21"/>
              </w:rPr>
              <w:t>通病照片</w:t>
            </w:r>
          </w:p>
        </w:tc>
        <w:tc>
          <w:tcPr>
            <w:tcW w:w="3792" w:type="dxa"/>
            <w:vAlign w:val="center"/>
          </w:tcPr>
          <w:p>
            <w:pPr>
              <w:jc w:val="center"/>
              <w:rPr>
                <w:rFonts w:ascii="宋体"/>
                <w:szCs w:val="21"/>
              </w:rPr>
            </w:pPr>
            <w:r>
              <w:rPr>
                <w:rFonts w:hint="eastAsia" w:ascii="宋体" w:hAnsi="宋体"/>
                <w:szCs w:val="21"/>
              </w:rPr>
              <w:t>原因及防治措施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2612" w:hRule="atLeast"/>
        </w:trPr>
        <w:tc>
          <w:tcPr>
            <w:tcW w:w="698" w:type="dxa"/>
            <w:vAlign w:val="center"/>
          </w:tcPr>
          <w:p>
            <w:pPr>
              <w:jc w:val="center"/>
              <w:rPr>
                <w:rFonts w:ascii="宋体"/>
                <w:szCs w:val="21"/>
              </w:rPr>
            </w:pPr>
            <w:r>
              <w:rPr>
                <w:rFonts w:ascii="宋体" w:hAnsi="宋体"/>
                <w:szCs w:val="21"/>
              </w:rPr>
              <w:t>1</w:t>
            </w:r>
          </w:p>
        </w:tc>
        <w:tc>
          <w:tcPr>
            <w:tcW w:w="828" w:type="dxa"/>
            <w:vAlign w:val="center"/>
          </w:tcPr>
          <w:p>
            <w:pPr>
              <w:jc w:val="center"/>
              <w:rPr>
                <w:rFonts w:ascii="宋体" w:hAnsi="宋体"/>
                <w:szCs w:val="21"/>
              </w:rPr>
            </w:pPr>
            <w:r>
              <w:rPr>
                <w:rFonts w:hint="eastAsia" w:ascii="宋体" w:hAnsi="宋体" w:cs="宋体"/>
                <w:szCs w:val="21"/>
              </w:rPr>
              <w:t>拼花木地板高低不平</w:t>
            </w:r>
          </w:p>
        </w:tc>
        <w:tc>
          <w:tcPr>
            <w:tcW w:w="4536" w:type="dxa"/>
            <w:vAlign w:val="center"/>
          </w:tcPr>
          <w:p>
            <w:pPr>
              <w:jc w:val="center"/>
              <w:rPr>
                <w:rFonts w:ascii="宋体"/>
                <w:szCs w:val="21"/>
              </w:rPr>
            </w:pPr>
            <w:r>
              <w:rPr>
                <w:rFonts w:ascii="宋体" w:cs="宋体"/>
              </w:rPr>
              <w:drawing>
                <wp:inline distT="0" distB="0" distL="0" distR="0">
                  <wp:extent cx="2628900" cy="1981200"/>
                  <wp:effectExtent l="19050" t="0" r="0" b="0"/>
                  <wp:docPr id="297" name="图片 3" descr="DSCN3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图片 3" descr="DSCN3713"/>
                          <pic:cNvPicPr>
                            <a:picLocks noChangeAspect="1" noChangeArrowheads="1"/>
                          </pic:cNvPicPr>
                        </pic:nvPicPr>
                        <pic:blipFill>
                          <a:blip r:embed="rId64"/>
                          <a:srcRect/>
                          <a:stretch>
                            <a:fillRect/>
                          </a:stretch>
                        </pic:blipFill>
                        <pic:spPr>
                          <a:xfrm>
                            <a:off x="0" y="0"/>
                            <a:ext cx="2628900" cy="1981200"/>
                          </a:xfrm>
                          <a:prstGeom prst="rect">
                            <a:avLst/>
                          </a:prstGeom>
                          <a:noFill/>
                          <a:ln w="9525">
                            <a:noFill/>
                            <a:miter lim="800000"/>
                            <a:headEnd/>
                            <a:tailEnd/>
                          </a:ln>
                        </pic:spPr>
                      </pic:pic>
                    </a:graphicData>
                  </a:graphic>
                </wp:inline>
              </w:drawing>
            </w:r>
            <w:r>
              <mc:AlternateContent>
                <mc:Choice Requires="wpg">
                  <w:drawing>
                    <wp:anchor distT="0" distB="0" distL="114300" distR="114300" simplePos="0" relativeHeight="251663360" behindDoc="0" locked="0" layoutInCell="1" allowOverlap="1">
                      <wp:simplePos x="0" y="0"/>
                      <wp:positionH relativeFrom="column">
                        <wp:posOffset>2299970</wp:posOffset>
                      </wp:positionH>
                      <wp:positionV relativeFrom="paragraph">
                        <wp:posOffset>186055</wp:posOffset>
                      </wp:positionV>
                      <wp:extent cx="378460" cy="374650"/>
                      <wp:effectExtent l="16510" t="19685" r="14605" b="15240"/>
                      <wp:wrapNone/>
                      <wp:docPr id="40" name="Group 157"/>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41" name="Oval 158"/>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42" name="Line 159"/>
                              <wps:cNvCnPr>
                                <a:cxnSpLocks noChangeShapeType="1"/>
                              </wps:cNvCnPr>
                              <wps:spPr bwMode="auto">
                                <a:xfrm>
                                  <a:off x="349" y="161"/>
                                  <a:ext cx="1451" cy="931"/>
                                </a:xfrm>
                                <a:prstGeom prst="line">
                                  <a:avLst/>
                                </a:prstGeom>
                                <a:noFill/>
                                <a:ln w="25400">
                                  <a:solidFill>
                                    <a:srgbClr val="FF0000"/>
                                  </a:solidFill>
                                  <a:round/>
                                </a:ln>
                              </wps:spPr>
                              <wps:bodyPr/>
                            </wps:wsp>
                            <wps:wsp>
                              <wps:cNvPr id="43" name="Line 160"/>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57" o:spid="_x0000_s1026" o:spt="203" style="position:absolute;left:0pt;margin-left:181.1pt;margin-top:14.65pt;height:29.5pt;width:29.8pt;z-index:251663360;mso-width-relative:page;mso-height-relative:page;" coordsize="2171,1243" o:gfxdata="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">
                      <o:lock v:ext="edit" aspectratio="f"/>
                      <v:shape id="Oval 158" o:spid="_x0000_s1026" o:spt="3" type="#_x0000_t3" style="position:absolute;left:0;top:0;height:1243;width:2171;" filled="f" stroked="t" coordsize="21600,21600" o:gfxdata="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qY&#10;WsEAAADbAAAADwAAAAAAAAABACAAAAAiAAAAZHJzL2Rvd25yZXYueG1sUEsBAhQAFAAAAAgAh07i&#10;QDMvBZ47AAAAOQAAABAAAAAAAAAAAQAgAAAAEAEAAGRycy9zaGFwZXhtbC54bWxQSwUGAAAAAAYA&#10;BgBbAQAAugMAAAAA&#10;">
                        <v:fill on="f" focussize="0,0"/>
                        <v:stroke weight="2pt" color="#FF0000" joinstyle="round"/>
                        <v:imagedata o:title=""/>
                        <o:lock v:ext="edit" aspectratio="f"/>
                      </v:shape>
                      <v:line id="Line 159" o:spid="_x0000_s1026" o:spt="20" style="position:absolute;left:349;top:161;height:931;width:1451;" filled="f" stroked="t" coordsize="21600,21600" o:gfxdata="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bXgIvQAA&#10;ANs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60" o:spid="_x0000_s1026" o:spt="20" style="position:absolute;left:360;top:156;flip:x;height:936;width:1440;" filled="f" stroked="t" coordsize="21600,21600" o:gfxdata="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aX8pL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p>
        </w:tc>
        <w:tc>
          <w:tcPr>
            <w:tcW w:w="3792" w:type="dxa"/>
            <w:vAlign w:val="center"/>
          </w:tcPr>
          <w:p>
            <w:pPr>
              <w:rPr>
                <w:rFonts w:ascii="宋体" w:cs="宋体"/>
                <w:kern w:val="0"/>
                <w:szCs w:val="21"/>
              </w:rPr>
            </w:pPr>
            <w:r>
              <w:rPr>
                <w:rFonts w:ascii="宋体" w:hAnsi="宋体" w:cs="宋体"/>
                <w:kern w:val="0"/>
                <w:szCs w:val="21"/>
              </w:rPr>
              <w:t>1</w:t>
            </w:r>
            <w:r>
              <w:rPr>
                <w:rFonts w:hint="eastAsia" w:ascii="宋体" w:hAnsi="宋体" w:cs="宋体"/>
                <w:kern w:val="0"/>
                <w:szCs w:val="21"/>
              </w:rPr>
              <w:t>、原因分析</w:t>
            </w:r>
          </w:p>
          <w:p>
            <w:pPr>
              <w:rPr>
                <w:rFonts w:ascii="宋体" w:cs="宋体"/>
                <w:kern w:val="0"/>
                <w:szCs w:val="21"/>
              </w:rPr>
            </w:pPr>
            <w:r>
              <w:rPr>
                <w:rFonts w:ascii="宋体" w:hAnsi="宋体" w:cs="宋体"/>
                <w:kern w:val="0"/>
                <w:szCs w:val="21"/>
              </w:rPr>
              <w:t>1</w:t>
            </w:r>
            <w:r>
              <w:rPr>
                <w:rFonts w:hint="eastAsia" w:ascii="宋体" w:hAnsi="宋体" w:cs="宋体"/>
                <w:kern w:val="0"/>
                <w:szCs w:val="21"/>
              </w:rPr>
              <w:t>）现场放线没有认真落实，地板搁栅高度没有根据水平标高调整；</w:t>
            </w:r>
            <w:r>
              <w:rPr>
                <w:rFonts w:ascii="宋体" w:hAnsi="宋体" w:cs="宋体"/>
                <w:kern w:val="0"/>
                <w:szCs w:val="21"/>
              </w:rPr>
              <w:t>2</w:t>
            </w:r>
            <w:r>
              <w:rPr>
                <w:rFonts w:hint="eastAsia" w:ascii="宋体" w:hAnsi="宋体" w:cs="宋体"/>
                <w:kern w:val="0"/>
                <w:szCs w:val="21"/>
              </w:rPr>
              <w:t>）现场检查不到位。</w:t>
            </w:r>
          </w:p>
          <w:p>
            <w:pPr>
              <w:rPr>
                <w:rFonts w:ascii="宋体" w:cs="宋体"/>
                <w:kern w:val="0"/>
                <w:szCs w:val="21"/>
              </w:rPr>
            </w:pPr>
            <w:r>
              <w:rPr>
                <w:rFonts w:ascii="宋体" w:hAnsi="宋体" w:cs="宋体"/>
                <w:kern w:val="0"/>
                <w:szCs w:val="21"/>
              </w:rPr>
              <w:t>2</w:t>
            </w:r>
            <w:r>
              <w:rPr>
                <w:rFonts w:hint="eastAsia" w:ascii="宋体" w:hAnsi="宋体" w:cs="宋体"/>
                <w:kern w:val="0"/>
                <w:szCs w:val="21"/>
              </w:rPr>
              <w:t>、防治措施</w:t>
            </w:r>
          </w:p>
          <w:p>
            <w:pPr>
              <w:rPr>
                <w:rFonts w:ascii="宋体" w:cs="宋体"/>
                <w:kern w:val="0"/>
                <w:szCs w:val="21"/>
              </w:rPr>
            </w:pPr>
            <w:r>
              <w:rPr>
                <w:rFonts w:ascii="宋体" w:hAnsi="宋体" w:cs="宋体"/>
                <w:kern w:val="0"/>
                <w:szCs w:val="21"/>
              </w:rPr>
              <w:t>1)</w:t>
            </w:r>
            <w:r>
              <w:rPr>
                <w:rFonts w:hint="eastAsia" w:ascii="宋体" w:hAnsi="宋体" w:cs="宋体"/>
                <w:kern w:val="0"/>
                <w:szCs w:val="21"/>
              </w:rPr>
              <w:t>前期策划及现场放线要认真落实，做好技术交底工作；</w:t>
            </w:r>
            <w:r>
              <w:rPr>
                <w:rFonts w:ascii="宋体" w:hAnsi="宋体" w:cs="宋体"/>
                <w:kern w:val="0"/>
                <w:szCs w:val="21"/>
              </w:rPr>
              <w:t>2)</w:t>
            </w:r>
            <w:r>
              <w:rPr>
                <w:rFonts w:hint="eastAsia" w:ascii="宋体" w:hAnsi="宋体" w:cs="宋体"/>
                <w:kern w:val="0"/>
                <w:szCs w:val="21"/>
              </w:rPr>
              <w:t>现场管理跟踪落实到人。地板铺设应留缝处理，可采用免胶铺设方法。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906" w:hRule="atLeast"/>
        </w:trPr>
        <w:tc>
          <w:tcPr>
            <w:tcW w:w="698" w:type="dxa"/>
            <w:vAlign w:val="center"/>
          </w:tcPr>
          <w:p>
            <w:pPr>
              <w:jc w:val="center"/>
              <w:rPr>
                <w:rFonts w:ascii="宋体"/>
                <w:szCs w:val="21"/>
              </w:rPr>
            </w:pPr>
            <w:r>
              <w:rPr>
                <w:rFonts w:ascii="宋体" w:hAnsi="宋体"/>
                <w:szCs w:val="21"/>
              </w:rPr>
              <w:t>2</w:t>
            </w:r>
          </w:p>
        </w:tc>
        <w:tc>
          <w:tcPr>
            <w:tcW w:w="828" w:type="dxa"/>
            <w:vAlign w:val="center"/>
          </w:tcPr>
          <w:p>
            <w:pPr>
              <w:jc w:val="center"/>
              <w:rPr>
                <w:rFonts w:ascii="宋体" w:hAnsi="宋体" w:cs="宋体"/>
                <w:szCs w:val="21"/>
              </w:rPr>
            </w:pPr>
            <w:r>
              <w:rPr>
                <w:rFonts w:hint="eastAsia" w:ascii="宋体" w:hAnsi="宋体" w:cs="宋体"/>
                <w:szCs w:val="21"/>
              </w:rPr>
              <w:t>地板在走动时有响声</w:t>
            </w:r>
          </w:p>
        </w:tc>
        <w:tc>
          <w:tcPr>
            <w:tcW w:w="4536" w:type="dxa"/>
          </w:tcPr>
          <w:p>
            <w:pPr>
              <w:jc w:val="center"/>
            </w:pPr>
            <w:r>
              <w:rPr>
                <w:rFonts w:ascii="宋体" w:cs="宋体"/>
              </w:rPr>
              <mc:AlternateContent>
                <mc:Choice Requires="wpg">
                  <w:drawing>
                    <wp:anchor distT="0" distB="0" distL="114300" distR="114300" simplePos="0" relativeHeight="251664384" behindDoc="0" locked="0" layoutInCell="1" allowOverlap="1">
                      <wp:simplePos x="0" y="0"/>
                      <wp:positionH relativeFrom="column">
                        <wp:posOffset>2230120</wp:posOffset>
                      </wp:positionH>
                      <wp:positionV relativeFrom="paragraph">
                        <wp:posOffset>86360</wp:posOffset>
                      </wp:positionV>
                      <wp:extent cx="378460" cy="374650"/>
                      <wp:effectExtent l="13335" t="21590" r="17780" b="13335"/>
                      <wp:wrapNone/>
                      <wp:docPr id="36" name="Group 161"/>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37" name="Oval 162"/>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38" name="Line 163"/>
                              <wps:cNvCnPr>
                                <a:cxnSpLocks noChangeShapeType="1"/>
                              </wps:cNvCnPr>
                              <wps:spPr bwMode="auto">
                                <a:xfrm>
                                  <a:off x="349" y="161"/>
                                  <a:ext cx="1451" cy="931"/>
                                </a:xfrm>
                                <a:prstGeom prst="line">
                                  <a:avLst/>
                                </a:prstGeom>
                                <a:noFill/>
                                <a:ln w="25400">
                                  <a:solidFill>
                                    <a:srgbClr val="FF0000"/>
                                  </a:solidFill>
                                  <a:round/>
                                </a:ln>
                              </wps:spPr>
                              <wps:bodyPr/>
                            </wps:wsp>
                            <wps:wsp>
                              <wps:cNvPr id="39" name="Line 164"/>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61" o:spid="_x0000_s1026" o:spt="203" style="position:absolute;left:0pt;margin-left:175.6pt;margin-top:6.8pt;height:29.5pt;width:29.8pt;z-index:251664384;mso-width-relative:page;mso-height-relative:page;" coordsize="2171,1243" o:gfxdata="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">
                      <o:lock v:ext="edit" aspectratio="f"/>
                      <v:shape id="Oval 162" o:spid="_x0000_s1026" o:spt="3" type="#_x0000_t3" style="position:absolute;left:0;top:0;height:1243;width:2171;" filled="f" stroked="t" coordsize="21600,21600" o:gfxdata="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idbI&#10;wAAAANsAAAAPAAAAAAAAAAEAIAAAACIAAABkcnMvZG93bnJldi54bWxQSwECFAAUAAAACACHTuJA&#10;My8FnjsAAAA5AAAAEAAAAAAAAAABACAAAAAPAQAAZHJzL3NoYXBleG1sLnhtbFBLBQYAAAAABgAG&#10;AFsBAAC5AwAAAAA=&#10;">
                        <v:fill on="f" focussize="0,0"/>
                        <v:stroke weight="2pt" color="#FF0000" joinstyle="round"/>
                        <v:imagedata o:title=""/>
                        <o:lock v:ext="edit" aspectratio="f"/>
                      </v:shape>
                      <v:line id="Line 163" o:spid="_x0000_s1026" o:spt="20" style="position:absolute;left:349;top:161;height:931;width:1451;" filled="f" stroked="t" coordsize="21600,21600" o:gfxdata="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oM8n7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line id="Line 164" o:spid="_x0000_s1026" o:spt="20" style="position:absolute;left:360;top:156;flip:x;height:936;width:1440;" filled="f" stroked="t" coordsize="21600,21600" o:gfxdata="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Eu4M7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r>
              <w:rPr>
                <w:rFonts w:ascii="宋体" w:cs="宋体"/>
                <w:kern w:val="0"/>
                <w:szCs w:val="21"/>
              </w:rPr>
              <w:drawing>
                <wp:inline distT="0" distB="0" distL="0" distR="0">
                  <wp:extent cx="2581275" cy="1962150"/>
                  <wp:effectExtent l="19050" t="0" r="9525" b="0"/>
                  <wp:docPr id="298" name="图片 112" descr="工地照片（5)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112" descr="工地照片（5) 200"/>
                          <pic:cNvPicPr>
                            <a:picLocks noChangeAspect="1" noChangeArrowheads="1"/>
                          </pic:cNvPicPr>
                        </pic:nvPicPr>
                        <pic:blipFill>
                          <a:blip r:embed="rId65"/>
                          <a:srcRect/>
                          <a:stretch>
                            <a:fillRect/>
                          </a:stretch>
                        </pic:blipFill>
                        <pic:spPr>
                          <a:xfrm>
                            <a:off x="0" y="0"/>
                            <a:ext cx="2581275" cy="1962150"/>
                          </a:xfrm>
                          <a:prstGeom prst="rect">
                            <a:avLst/>
                          </a:prstGeom>
                          <a:noFill/>
                          <a:ln w="9525">
                            <a:noFill/>
                            <a:miter lim="800000"/>
                            <a:headEnd/>
                            <a:tailEnd/>
                          </a:ln>
                        </pic:spPr>
                      </pic:pic>
                    </a:graphicData>
                  </a:graphic>
                </wp:inline>
              </w:drawing>
            </w:r>
          </w:p>
        </w:tc>
        <w:tc>
          <w:tcPr>
            <w:tcW w:w="3792" w:type="dxa"/>
            <w:vAlign w:val="center"/>
          </w:tcPr>
          <w:p>
            <w:pPr>
              <w:rPr>
                <w:rFonts w:ascii="宋体" w:cs="宋体"/>
                <w:kern w:val="0"/>
                <w:szCs w:val="21"/>
              </w:rPr>
            </w:pPr>
            <w:r>
              <w:rPr>
                <w:rFonts w:ascii="宋体" w:hAnsi="宋体" w:cs="宋体"/>
                <w:kern w:val="0"/>
                <w:szCs w:val="21"/>
              </w:rPr>
              <w:t>1</w:t>
            </w:r>
            <w:r>
              <w:rPr>
                <w:rFonts w:hint="eastAsia" w:ascii="宋体" w:hAnsi="宋体" w:cs="宋体"/>
                <w:kern w:val="0"/>
                <w:szCs w:val="21"/>
              </w:rPr>
              <w:t>、原因分析</w:t>
            </w:r>
          </w:p>
          <w:p>
            <w:pPr>
              <w:rPr>
                <w:rFonts w:ascii="幼圆" w:eastAsia="幼圆"/>
                <w:szCs w:val="21"/>
              </w:rPr>
            </w:pPr>
            <w:r>
              <w:rPr>
                <w:rFonts w:ascii="宋体" w:hAnsi="宋体" w:cs="宋体"/>
                <w:kern w:val="0"/>
                <w:szCs w:val="21"/>
              </w:rPr>
              <w:t>1</w:t>
            </w:r>
            <w:r>
              <w:rPr>
                <w:rFonts w:hint="eastAsia" w:ascii="宋体" w:hAnsi="宋体" w:cs="宋体"/>
                <w:kern w:val="0"/>
                <w:szCs w:val="21"/>
              </w:rPr>
              <w:t>）实木地板铺设时先打木塞，然后把木龙骨用钉子固定在木塞上，木地板使用一段时间之后容易出现松动，在走动时出现响声。</w:t>
            </w:r>
          </w:p>
          <w:p>
            <w:pPr>
              <w:rPr>
                <w:rFonts w:ascii="宋体" w:cs="宋体"/>
                <w:kern w:val="0"/>
                <w:szCs w:val="21"/>
              </w:rPr>
            </w:pPr>
            <w:r>
              <w:rPr>
                <w:rFonts w:ascii="宋体" w:hAnsi="宋体" w:cs="宋体"/>
                <w:kern w:val="0"/>
                <w:szCs w:val="21"/>
              </w:rPr>
              <w:t>2</w:t>
            </w:r>
            <w:r>
              <w:rPr>
                <w:rFonts w:hint="eastAsia" w:ascii="宋体" w:hAnsi="宋体" w:cs="宋体"/>
                <w:kern w:val="0"/>
                <w:szCs w:val="21"/>
              </w:rPr>
              <w:t>、防治措施</w:t>
            </w:r>
          </w:p>
          <w:p>
            <w:pPr>
              <w:rPr>
                <w:rFonts w:ascii="宋体" w:cs="宋体"/>
                <w:kern w:val="0"/>
                <w:szCs w:val="21"/>
              </w:rPr>
            </w:pPr>
            <w:r>
              <w:rPr>
                <w:rFonts w:ascii="宋体" w:hAnsi="宋体" w:cs="宋体"/>
                <w:kern w:val="0"/>
                <w:szCs w:val="21"/>
              </w:rPr>
              <w:t>1</w:t>
            </w:r>
            <w:r>
              <w:rPr>
                <w:rFonts w:hint="eastAsia" w:ascii="宋体" w:hAnsi="宋体" w:cs="宋体"/>
                <w:kern w:val="0"/>
                <w:szCs w:val="21"/>
              </w:rPr>
              <w:t>）先打好木塞，利用聚氨脂胶固定木龙骨，然后用钉子固定；</w:t>
            </w:r>
            <w:r>
              <w:rPr>
                <w:rFonts w:ascii="宋体" w:hAnsi="宋体" w:cs="宋体"/>
                <w:kern w:val="0"/>
                <w:szCs w:val="21"/>
              </w:rPr>
              <w:t>2</w:t>
            </w:r>
            <w:r>
              <w:rPr>
                <w:rFonts w:hint="eastAsia" w:ascii="宋体" w:hAnsi="宋体" w:cs="宋体"/>
                <w:kern w:val="0"/>
                <w:szCs w:val="21"/>
              </w:rPr>
              <w:t>）宜采用环保聚氨酯胶直接粘贴木地板；</w:t>
            </w:r>
            <w:r>
              <w:rPr>
                <w:rFonts w:ascii="宋体" w:hAnsi="宋体" w:cs="宋体"/>
                <w:kern w:val="0"/>
                <w:szCs w:val="21"/>
              </w:rPr>
              <w:t>3</w:t>
            </w:r>
            <w:r>
              <w:rPr>
                <w:rFonts w:hint="eastAsia" w:ascii="宋体" w:hAnsi="宋体" w:cs="宋体"/>
                <w:kern w:val="0"/>
                <w:szCs w:val="21"/>
              </w:rPr>
              <w:t>）可采用带有塑料防震卡件的木地板。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029" w:hRule="atLeast"/>
        </w:trPr>
        <w:tc>
          <w:tcPr>
            <w:tcW w:w="698" w:type="dxa"/>
            <w:vAlign w:val="center"/>
          </w:tcPr>
          <w:p>
            <w:pPr>
              <w:jc w:val="center"/>
              <w:rPr>
                <w:rFonts w:ascii="宋体"/>
                <w:szCs w:val="21"/>
              </w:rPr>
            </w:pPr>
            <w:r>
              <w:rPr>
                <w:rFonts w:ascii="宋体" w:hAnsi="宋体"/>
                <w:szCs w:val="21"/>
              </w:rPr>
              <w:t>3</w:t>
            </w:r>
          </w:p>
        </w:tc>
        <w:tc>
          <w:tcPr>
            <w:tcW w:w="828" w:type="dxa"/>
            <w:vAlign w:val="center"/>
          </w:tcPr>
          <w:p>
            <w:pPr>
              <w:jc w:val="center"/>
              <w:rPr>
                <w:rFonts w:ascii="宋体" w:hAnsi="宋体" w:cs="宋体"/>
                <w:szCs w:val="21"/>
              </w:rPr>
            </w:pPr>
            <w:r>
              <w:rPr>
                <w:rFonts w:hint="eastAsia" w:ascii="宋体" w:hAnsi="宋体" w:cs="宋体"/>
                <w:szCs w:val="21"/>
              </w:rPr>
              <w:t>地板起拱断裂</w:t>
            </w:r>
          </w:p>
        </w:tc>
        <w:tc>
          <w:tcPr>
            <w:tcW w:w="4536" w:type="dxa"/>
          </w:tcPr>
          <w:p>
            <w:pPr>
              <w:jc w:val="center"/>
              <w:rPr>
                <w:rFonts w:ascii="宋体"/>
                <w:szCs w:val="21"/>
              </w:rPr>
            </w:pPr>
            <w:r>
              <w:rPr>
                <w:rFonts w:ascii="宋体" w:hAnsi="宋体" w:cs="宋体"/>
                <w:kern w:val="0"/>
                <w:szCs w:val="21"/>
              </w:rPr>
              <mc:AlternateContent>
                <mc:Choice Requires="wpg">
                  <w:drawing>
                    <wp:anchor distT="0" distB="0" distL="114300" distR="114300" simplePos="0" relativeHeight="251665408" behindDoc="0" locked="0" layoutInCell="1" allowOverlap="1">
                      <wp:simplePos x="0" y="0"/>
                      <wp:positionH relativeFrom="column">
                        <wp:posOffset>2183130</wp:posOffset>
                      </wp:positionH>
                      <wp:positionV relativeFrom="paragraph">
                        <wp:posOffset>2168525</wp:posOffset>
                      </wp:positionV>
                      <wp:extent cx="378460" cy="374650"/>
                      <wp:effectExtent l="13970" t="16510" r="17145" b="18415"/>
                      <wp:wrapNone/>
                      <wp:docPr id="32" name="Group 165"/>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33" name="Oval 166"/>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34" name="Line 167"/>
                              <wps:cNvCnPr>
                                <a:cxnSpLocks noChangeShapeType="1"/>
                              </wps:cNvCnPr>
                              <wps:spPr bwMode="auto">
                                <a:xfrm>
                                  <a:off x="349" y="161"/>
                                  <a:ext cx="1451" cy="931"/>
                                </a:xfrm>
                                <a:prstGeom prst="line">
                                  <a:avLst/>
                                </a:prstGeom>
                                <a:noFill/>
                                <a:ln w="25400">
                                  <a:solidFill>
                                    <a:srgbClr val="FF0000"/>
                                  </a:solidFill>
                                  <a:round/>
                                </a:ln>
                              </wps:spPr>
                              <wps:bodyPr/>
                            </wps:wsp>
                            <wps:wsp>
                              <wps:cNvPr id="35" name="Line 168"/>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65" o:spid="_x0000_s1026" o:spt="203" style="position:absolute;left:0pt;margin-left:171.9pt;margin-top:170.75pt;height:29.5pt;width:29.8pt;z-index:251665408;mso-width-relative:page;mso-height-relative:page;" coordsize="2171,1243" o:gfxdata="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">
                      <o:lock v:ext="edit" aspectratio="f"/>
                      <v:shape id="Oval 166" o:spid="_x0000_s1026" o:spt="3" type="#_x0000_t3" style="position:absolute;left:0;top:0;height:1243;width:2171;" filled="f" stroked="t" coordsize="21600,21600" o:gfxdata="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bLQ&#10;y8EAAADbAAAADwAAAAAAAAABACAAAAAiAAAAZHJzL2Rvd25yZXYueG1sUEsBAhQAFAAAAAgAh07i&#10;QDMvBZ47AAAAOQAAABAAAAAAAAAAAQAgAAAAEAEAAGRycy9zaGFwZXhtbC54bWxQSwUGAAAAAAYA&#10;BgBbAQAAugMAAAAA&#10;">
                        <v:fill on="f" focussize="0,0"/>
                        <v:stroke weight="2pt" color="#FF0000" joinstyle="round"/>
                        <v:imagedata o:title=""/>
                        <o:lock v:ext="edit" aspectratio="f"/>
                      </v:shape>
                      <v:line id="Line 167" o:spid="_x0000_s1026" o:spt="20" style="position:absolute;left:349;top:161;height:931;width:1451;" filled="f" stroked="t" coordsize="21600,21600" o:gfxdata="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zjaavQAA&#10;ANs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68" o:spid="_x0000_s1026" o:spt="20" style="position:absolute;left:360;top:156;flip:x;height:936;width:1440;" filled="f" stroked="t" coordsize="21600,21600" o:gfxdata="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QayNr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r>
              <w:rPr>
                <w:rFonts w:ascii="宋体" w:hAnsi="宋体" w:cs="宋体"/>
                <w:kern w:val="0"/>
                <w:szCs w:val="21"/>
              </w:rPr>
              <mc:AlternateContent>
                <mc:Choice Requires="wpg">
                  <w:drawing>
                    <wp:anchor distT="0" distB="0" distL="114300" distR="114300" simplePos="0" relativeHeight="251666432" behindDoc="0" locked="0" layoutInCell="1" allowOverlap="1">
                      <wp:simplePos x="0" y="0"/>
                      <wp:positionH relativeFrom="column">
                        <wp:posOffset>2194560</wp:posOffset>
                      </wp:positionH>
                      <wp:positionV relativeFrom="paragraph">
                        <wp:posOffset>187325</wp:posOffset>
                      </wp:positionV>
                      <wp:extent cx="378460" cy="374650"/>
                      <wp:effectExtent l="15875" t="16510" r="15240" b="18415"/>
                      <wp:wrapNone/>
                      <wp:docPr id="28" name="Group 169"/>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29" name="Oval 170"/>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30" name="Line 171"/>
                              <wps:cNvCnPr>
                                <a:cxnSpLocks noChangeShapeType="1"/>
                              </wps:cNvCnPr>
                              <wps:spPr bwMode="auto">
                                <a:xfrm>
                                  <a:off x="349" y="161"/>
                                  <a:ext cx="1451" cy="931"/>
                                </a:xfrm>
                                <a:prstGeom prst="line">
                                  <a:avLst/>
                                </a:prstGeom>
                                <a:noFill/>
                                <a:ln w="25400">
                                  <a:solidFill>
                                    <a:srgbClr val="FF0000"/>
                                  </a:solidFill>
                                  <a:round/>
                                </a:ln>
                              </wps:spPr>
                              <wps:bodyPr/>
                            </wps:wsp>
                            <wps:wsp>
                              <wps:cNvPr id="31" name="Line 172"/>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69" o:spid="_x0000_s1026" o:spt="203" style="position:absolute;left:0pt;margin-left:172.8pt;margin-top:14.75pt;height:29.5pt;width:29.8pt;z-index:251666432;mso-width-relative:page;mso-height-relative:page;" coordsize="2171,1243" o:gfxdata="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">
                      <o:lock v:ext="edit" aspectratio="f"/>
                      <v:shape id="Oval 170" o:spid="_x0000_s1026" o:spt="3" type="#_x0000_t3" style="position:absolute;left:0;top:0;height:1243;width:2171;" filled="f" stroked="t" coordsize="21600,21600" o:gfxdata="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g3H8&#10;wAAAANsAAAAPAAAAAAAAAAEAIAAAACIAAABkcnMvZG93bnJldi54bWxQSwECFAAUAAAACACHTuJA&#10;My8FnjsAAAA5AAAAEAAAAAAAAAABACAAAAAPAQAAZHJzL3NoYXBleG1sLnhtbFBLBQYAAAAABgAG&#10;AFsBAAC5AwAAAAA=&#10;">
                        <v:fill on="f" focussize="0,0"/>
                        <v:stroke weight="2pt" color="#FF0000" joinstyle="round"/>
                        <v:imagedata o:title=""/>
                        <o:lock v:ext="edit" aspectratio="f"/>
                      </v:shape>
                      <v:line id="Line 171" o:spid="_x0000_s1026" o:spt="20" style="position:absolute;left:349;top:161;height:931;width:1451;" filled="f" stroked="t" coordsize="21600,21600" o:gfxdata="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PUwmb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line id="Line 172" o:spid="_x0000_s1026" o:spt="20" style="position:absolute;left:360;top:156;flip:x;height:936;width:1440;" filled="f" stroked="t" coordsize="21600,21600" o:gfxdata="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j20Nb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r>
              <w:rPr>
                <w:rFonts w:ascii="黑体" w:eastAsia="黑体"/>
              </w:rPr>
              <w:drawing>
                <wp:inline distT="0" distB="0" distL="0" distR="0">
                  <wp:extent cx="2571750" cy="1828800"/>
                  <wp:effectExtent l="19050" t="0" r="0" b="0"/>
                  <wp:docPr id="299" name="图片 9" descr="DSCN0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9" descr="DSCN0725"/>
                          <pic:cNvPicPr>
                            <a:picLocks noChangeAspect="1" noChangeArrowheads="1"/>
                          </pic:cNvPicPr>
                        </pic:nvPicPr>
                        <pic:blipFill>
                          <a:blip r:embed="rId66"/>
                          <a:srcRect/>
                          <a:stretch>
                            <a:fillRect/>
                          </a:stretch>
                        </pic:blipFill>
                        <pic:spPr>
                          <a:xfrm>
                            <a:off x="0" y="0"/>
                            <a:ext cx="2571750" cy="1828800"/>
                          </a:xfrm>
                          <a:prstGeom prst="rect">
                            <a:avLst/>
                          </a:prstGeom>
                          <a:noFill/>
                          <a:ln w="9525">
                            <a:noFill/>
                            <a:miter lim="800000"/>
                            <a:headEnd/>
                            <a:tailEnd/>
                          </a:ln>
                        </pic:spPr>
                      </pic:pic>
                    </a:graphicData>
                  </a:graphic>
                </wp:inline>
              </w:drawing>
            </w:r>
            <w:r>
              <w:rPr>
                <w:rFonts w:ascii="黑体" w:eastAsia="黑体"/>
              </w:rPr>
              <w:drawing>
                <wp:inline distT="0" distB="0" distL="0" distR="0">
                  <wp:extent cx="2524125" cy="1676400"/>
                  <wp:effectExtent l="19050" t="0" r="9525" b="0"/>
                  <wp:docPr id="300" name="图片 6" descr="调整大小 DSC06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6" descr="调整大小 DSC06288"/>
                          <pic:cNvPicPr>
                            <a:picLocks noChangeAspect="1" noChangeArrowheads="1"/>
                          </pic:cNvPicPr>
                        </pic:nvPicPr>
                        <pic:blipFill>
                          <a:blip r:embed="rId67"/>
                          <a:srcRect/>
                          <a:stretch>
                            <a:fillRect/>
                          </a:stretch>
                        </pic:blipFill>
                        <pic:spPr>
                          <a:xfrm>
                            <a:off x="0" y="0"/>
                            <a:ext cx="2524125" cy="1676400"/>
                          </a:xfrm>
                          <a:prstGeom prst="rect">
                            <a:avLst/>
                          </a:prstGeom>
                          <a:noFill/>
                          <a:ln w="9525">
                            <a:noFill/>
                            <a:miter lim="800000"/>
                            <a:headEnd/>
                            <a:tailEnd/>
                          </a:ln>
                        </pic:spPr>
                      </pic:pic>
                    </a:graphicData>
                  </a:graphic>
                </wp:inline>
              </w:drawing>
            </w:r>
          </w:p>
        </w:tc>
        <w:tc>
          <w:tcPr>
            <w:tcW w:w="3792" w:type="dxa"/>
            <w:vAlign w:val="center"/>
          </w:tcPr>
          <w:p>
            <w:pPr>
              <w:rPr>
                <w:rFonts w:ascii="宋体" w:cs="宋体"/>
                <w:kern w:val="0"/>
                <w:szCs w:val="21"/>
              </w:rPr>
            </w:pPr>
            <w:r>
              <w:rPr>
                <w:rFonts w:ascii="宋体" w:hAnsi="宋体" w:cs="宋体"/>
                <w:kern w:val="0"/>
                <w:szCs w:val="21"/>
              </w:rPr>
              <w:t>1</w:t>
            </w:r>
            <w:r>
              <w:rPr>
                <w:rFonts w:hint="eastAsia" w:ascii="宋体" w:hAnsi="宋体" w:cs="宋体"/>
                <w:kern w:val="0"/>
                <w:szCs w:val="21"/>
              </w:rPr>
              <w:t>、原因分析</w:t>
            </w:r>
          </w:p>
          <w:p>
            <w:pPr>
              <w:rPr>
                <w:rFonts w:ascii="宋体" w:cs="宋体"/>
                <w:kern w:val="0"/>
                <w:szCs w:val="21"/>
              </w:rPr>
            </w:pPr>
            <w:r>
              <w:rPr>
                <w:rFonts w:ascii="宋体" w:hAnsi="宋体" w:cs="宋体"/>
                <w:kern w:val="0"/>
                <w:szCs w:val="21"/>
              </w:rPr>
              <w:t>1</w:t>
            </w:r>
            <w:r>
              <w:rPr>
                <w:rFonts w:hint="eastAsia" w:ascii="宋体" w:hAnsi="宋体" w:cs="宋体"/>
                <w:kern w:val="0"/>
                <w:szCs w:val="21"/>
              </w:rPr>
              <w:t>）地面湿度大，时间一长造成膨胀起拱；</w:t>
            </w:r>
            <w:r>
              <w:rPr>
                <w:rFonts w:ascii="宋体" w:hAnsi="宋体" w:cs="宋体"/>
                <w:kern w:val="0"/>
                <w:szCs w:val="21"/>
              </w:rPr>
              <w:t>2</w:t>
            </w:r>
            <w:r>
              <w:rPr>
                <w:rFonts w:hint="eastAsia" w:ascii="宋体" w:hAnsi="宋体" w:cs="宋体"/>
                <w:kern w:val="0"/>
                <w:szCs w:val="21"/>
              </w:rPr>
              <w:t>）铺设时四周与墙面没有预留空缝，造成起拱断裂。</w:t>
            </w:r>
          </w:p>
          <w:p>
            <w:pPr>
              <w:rPr>
                <w:rFonts w:ascii="宋体" w:cs="宋体"/>
                <w:kern w:val="0"/>
                <w:szCs w:val="21"/>
              </w:rPr>
            </w:pPr>
            <w:r>
              <w:rPr>
                <w:rFonts w:ascii="宋体" w:hAnsi="宋体" w:cs="宋体"/>
                <w:kern w:val="0"/>
                <w:szCs w:val="21"/>
              </w:rPr>
              <w:t>2</w:t>
            </w:r>
            <w:r>
              <w:rPr>
                <w:rFonts w:hint="eastAsia" w:ascii="宋体" w:hAnsi="宋体" w:cs="宋体"/>
                <w:kern w:val="0"/>
                <w:szCs w:val="21"/>
              </w:rPr>
              <w:t>、防治措施</w:t>
            </w:r>
          </w:p>
          <w:p>
            <w:pPr>
              <w:rPr>
                <w:rFonts w:ascii="宋体" w:cs="宋体"/>
                <w:kern w:val="0"/>
                <w:szCs w:val="21"/>
              </w:rPr>
            </w:pPr>
            <w:r>
              <w:rPr>
                <w:rFonts w:ascii="宋体" w:hAnsi="宋体" w:cs="宋体"/>
                <w:kern w:val="0"/>
                <w:szCs w:val="21"/>
              </w:rPr>
              <w:t>1</w:t>
            </w:r>
            <w:r>
              <w:rPr>
                <w:rFonts w:hint="eastAsia" w:ascii="宋体" w:hAnsi="宋体" w:cs="宋体"/>
                <w:kern w:val="0"/>
                <w:szCs w:val="21"/>
              </w:rPr>
              <w:t>）铺设前检查地坪是否平整，尤其是水泥找平面要干透；</w:t>
            </w:r>
            <w:r>
              <w:rPr>
                <w:rFonts w:ascii="宋体" w:hAnsi="宋体" w:cs="宋体"/>
                <w:kern w:val="0"/>
                <w:szCs w:val="21"/>
              </w:rPr>
              <w:t>2</w:t>
            </w:r>
            <w:r>
              <w:rPr>
                <w:rFonts w:hint="eastAsia" w:ascii="宋体" w:hAnsi="宋体" w:cs="宋体"/>
                <w:kern w:val="0"/>
                <w:szCs w:val="21"/>
              </w:rPr>
              <w:t>）免漆地板开包装后首先不应马上铺设，应让其适应外界湿度；</w:t>
            </w:r>
            <w:r>
              <w:rPr>
                <w:rFonts w:ascii="宋体" w:hAnsi="宋体" w:cs="宋体"/>
                <w:kern w:val="0"/>
                <w:szCs w:val="21"/>
              </w:rPr>
              <w:t>3</w:t>
            </w:r>
            <w:r>
              <w:rPr>
                <w:rFonts w:hint="eastAsia" w:ascii="宋体" w:hAnsi="宋体" w:cs="宋体"/>
                <w:kern w:val="0"/>
                <w:szCs w:val="21"/>
              </w:rPr>
              <w:t>）铺设地板过程中不要拼的过紧（留</w:t>
            </w:r>
            <w:r>
              <w:rPr>
                <w:rFonts w:ascii="宋体" w:hAnsi="宋体" w:cs="宋体"/>
                <w:kern w:val="0"/>
                <w:szCs w:val="21"/>
              </w:rPr>
              <w:t>0.1</w:t>
            </w:r>
            <w:r>
              <w:rPr>
                <w:rFonts w:hint="eastAsia" w:ascii="宋体" w:hAnsi="宋体" w:cs="宋体"/>
                <w:kern w:val="0"/>
                <w:szCs w:val="21"/>
              </w:rPr>
              <w:t>㎜～</w:t>
            </w:r>
            <w:r>
              <w:rPr>
                <w:rFonts w:ascii="宋体" w:hAnsi="宋体" w:cs="宋体"/>
                <w:kern w:val="0"/>
                <w:szCs w:val="21"/>
              </w:rPr>
              <w:t>0.2㎜</w:t>
            </w:r>
            <w:r>
              <w:rPr>
                <w:rFonts w:hint="eastAsia" w:ascii="宋体" w:hAnsi="宋体" w:cs="宋体"/>
                <w:kern w:val="0"/>
                <w:szCs w:val="21"/>
              </w:rPr>
              <w:t>）；</w:t>
            </w:r>
            <w:r>
              <w:rPr>
                <w:rFonts w:ascii="宋体" w:hAnsi="宋体" w:cs="宋体"/>
                <w:kern w:val="0"/>
                <w:szCs w:val="21"/>
              </w:rPr>
              <w:t>4</w:t>
            </w:r>
            <w:r>
              <w:rPr>
                <w:rFonts w:hint="eastAsia" w:ascii="宋体" w:hAnsi="宋体" w:cs="宋体"/>
                <w:kern w:val="0"/>
                <w:szCs w:val="21"/>
              </w:rPr>
              <w:t>）地板四周踢脚板下留</w:t>
            </w:r>
            <w:r>
              <w:rPr>
                <w:rFonts w:ascii="宋体" w:hAnsi="宋体" w:cs="宋体"/>
                <w:kern w:val="0"/>
                <w:szCs w:val="21"/>
              </w:rPr>
              <w:t>8</w:t>
            </w:r>
            <w:r>
              <w:rPr>
                <w:rFonts w:hint="eastAsia" w:ascii="宋体" w:hAnsi="宋体" w:cs="宋体"/>
                <w:kern w:val="0"/>
                <w:szCs w:val="21"/>
              </w:rPr>
              <w:t>㎜～</w:t>
            </w:r>
            <w:r>
              <w:rPr>
                <w:rFonts w:ascii="宋体" w:hAnsi="宋体" w:cs="宋体"/>
                <w:kern w:val="0"/>
                <w:szCs w:val="21"/>
              </w:rPr>
              <w:t>10</w:t>
            </w:r>
            <w:r>
              <w:rPr>
                <w:rFonts w:hint="eastAsia" w:ascii="宋体" w:hAnsi="宋体" w:cs="宋体"/>
                <w:kern w:val="0"/>
                <w:szCs w:val="21"/>
              </w:rPr>
              <w:t>㎜的伸缩缝，确保有收缩空间；</w:t>
            </w:r>
            <w:r>
              <w:rPr>
                <w:rFonts w:ascii="宋体" w:hAnsi="宋体" w:cs="宋体"/>
                <w:kern w:val="0"/>
                <w:szCs w:val="21"/>
              </w:rPr>
              <w:t>5</w:t>
            </w:r>
            <w:r>
              <w:rPr>
                <w:rFonts w:hint="eastAsia" w:ascii="宋体" w:hAnsi="宋体" w:cs="宋体"/>
                <w:kern w:val="0"/>
                <w:szCs w:val="21"/>
              </w:rPr>
              <w:t>）地板与墙面（或隔断）无踢脚线处留</w:t>
            </w:r>
            <w:r>
              <w:rPr>
                <w:rFonts w:ascii="宋体" w:hAnsi="宋体" w:cs="宋体"/>
                <w:kern w:val="0"/>
                <w:szCs w:val="21"/>
              </w:rPr>
              <w:t>10</w:t>
            </w:r>
            <w:r>
              <w:rPr>
                <w:rFonts w:hint="eastAsia" w:ascii="宋体" w:hAnsi="宋体" w:cs="宋体"/>
                <w:kern w:val="0"/>
                <w:szCs w:val="21"/>
              </w:rPr>
              <w:t>㎜左右的间隙，用收口条收边（见图</w:t>
            </w:r>
            <w:r>
              <w:rPr>
                <w:rFonts w:ascii="宋体" w:hAnsi="宋体" w:cs="宋体"/>
                <w:kern w:val="0"/>
                <w:szCs w:val="21"/>
              </w:rPr>
              <w:t>2</w:t>
            </w:r>
            <w:r>
              <w:rPr>
                <w:rFonts w:hint="eastAsia" w:ascii="宋体" w:hAnsi="宋体" w:cs="宋体"/>
                <w:kern w:val="0"/>
                <w:szCs w:val="21"/>
              </w:rPr>
              <w:t>）；</w:t>
            </w:r>
            <w:r>
              <w:rPr>
                <w:rFonts w:ascii="宋体" w:hAnsi="宋体" w:cs="宋体"/>
                <w:kern w:val="0"/>
                <w:szCs w:val="21"/>
              </w:rPr>
              <w:t>6</w:t>
            </w:r>
            <w:r>
              <w:rPr>
                <w:rFonts w:hint="eastAsia" w:ascii="宋体" w:hAnsi="宋体" w:cs="宋体"/>
                <w:kern w:val="0"/>
                <w:szCs w:val="21"/>
              </w:rPr>
              <w:t>）地板应注意日常养护。避免阳光暴晒或潮湿遇水等现象。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00" w:hRule="atLeast"/>
        </w:trPr>
        <w:tc>
          <w:tcPr>
            <w:tcW w:w="698" w:type="dxa"/>
            <w:vAlign w:val="center"/>
          </w:tcPr>
          <w:p>
            <w:pPr>
              <w:jc w:val="center"/>
              <w:rPr>
                <w:rFonts w:ascii="宋体"/>
                <w:szCs w:val="21"/>
              </w:rPr>
            </w:pPr>
            <w:r>
              <w:rPr>
                <w:rFonts w:ascii="宋体" w:hAnsi="宋体"/>
                <w:szCs w:val="21"/>
              </w:rPr>
              <w:t>4</w:t>
            </w:r>
          </w:p>
        </w:tc>
        <w:tc>
          <w:tcPr>
            <w:tcW w:w="828" w:type="dxa"/>
            <w:vAlign w:val="center"/>
          </w:tcPr>
          <w:p>
            <w:pPr>
              <w:jc w:val="center"/>
              <w:rPr>
                <w:rFonts w:ascii="宋体" w:hAnsi="宋体" w:cs="宋体"/>
                <w:szCs w:val="21"/>
              </w:rPr>
            </w:pPr>
            <w:r>
              <w:rPr>
                <w:rFonts w:hint="eastAsia" w:ascii="宋体" w:hAnsi="宋体" w:cs="宋体"/>
                <w:szCs w:val="21"/>
              </w:rPr>
              <w:t>地板松动，收口处不平</w:t>
            </w:r>
          </w:p>
        </w:tc>
        <w:tc>
          <w:tcPr>
            <w:tcW w:w="4536" w:type="dxa"/>
          </w:tcPr>
          <w:p>
            <w:pPr>
              <w:jc w:val="center"/>
            </w:pPr>
            <w:r>
              <w:rPr>
                <w:rFonts w:ascii="宋体" w:hAnsi="宋体" w:cs="宋体"/>
                <w:kern w:val="0"/>
                <w:szCs w:val="21"/>
              </w:rPr>
              <mc:AlternateContent>
                <mc:Choice Requires="wpg">
                  <w:drawing>
                    <wp:anchor distT="0" distB="0" distL="114300" distR="114300" simplePos="0" relativeHeight="251661312" behindDoc="0" locked="0" layoutInCell="1" allowOverlap="1">
                      <wp:simplePos x="0" y="0"/>
                      <wp:positionH relativeFrom="column">
                        <wp:posOffset>2155190</wp:posOffset>
                      </wp:positionH>
                      <wp:positionV relativeFrom="paragraph">
                        <wp:posOffset>172085</wp:posOffset>
                      </wp:positionV>
                      <wp:extent cx="378460" cy="374650"/>
                      <wp:effectExtent l="14605" t="16510" r="16510" b="18415"/>
                      <wp:wrapNone/>
                      <wp:docPr id="24" name="Group 149"/>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25" name="Oval 150"/>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26" name="Line 151"/>
                              <wps:cNvCnPr>
                                <a:cxnSpLocks noChangeShapeType="1"/>
                              </wps:cNvCnPr>
                              <wps:spPr bwMode="auto">
                                <a:xfrm>
                                  <a:off x="349" y="161"/>
                                  <a:ext cx="1451" cy="931"/>
                                </a:xfrm>
                                <a:prstGeom prst="line">
                                  <a:avLst/>
                                </a:prstGeom>
                                <a:noFill/>
                                <a:ln w="25400">
                                  <a:solidFill>
                                    <a:srgbClr val="FF0000"/>
                                  </a:solidFill>
                                  <a:round/>
                                </a:ln>
                              </wps:spPr>
                              <wps:bodyPr/>
                            </wps:wsp>
                            <wps:wsp>
                              <wps:cNvPr id="27" name="Line 152"/>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49" o:spid="_x0000_s1026" o:spt="203" style="position:absolute;left:0pt;margin-left:169.7pt;margin-top:13.55pt;height:29.5pt;width:29.8pt;z-index:251661312;mso-width-relative:page;mso-height-relative:page;" coordsize="2171,1243" o:gfxdata="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">
                      <o:lock v:ext="edit" aspectratio="f"/>
                      <v:shape id="Oval 150" o:spid="_x0000_s1026" o:spt="3" type="#_x0000_t3" style="position:absolute;left:0;top:0;height:1243;width:2171;" filled="f" stroked="t" coordsize="21600,21600" o:gfxdata="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znv5&#10;wAAAANsAAAAPAAAAAAAAAAEAIAAAACIAAABkcnMvZG93bnJldi54bWxQSwECFAAUAAAACACHTuJA&#10;My8FnjsAAAA5AAAAEAAAAAAAAAABACAAAAAPAQAAZHJzL3NoYXBleG1sLnhtbFBLBQYAAAAABgAG&#10;AFsBAAC5AwAAAAA=&#10;">
                        <v:fill on="f" focussize="0,0"/>
                        <v:stroke weight="2pt" color="#FF0000" joinstyle="round"/>
                        <v:imagedata o:title=""/>
                        <o:lock v:ext="edit" aspectratio="f"/>
                      </v:shape>
                      <v:line id="Line 151" o:spid="_x0000_s1026" o:spt="20" style="position:absolute;left:349;top:161;height:931;width:1451;" filled="f" stroked="t" coordsize="21600,21600" o:gfxdata="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iZurvQAA&#10;ANs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52" o:spid="_x0000_s1026" o:spt="20" style="position:absolute;left:360;top:156;flip:x;height:936;width:1440;" filled="f" stroked="t" coordsize="21600,21600" o:gfxdata="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0EfB7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r>
              <w:rPr>
                <w:rFonts w:ascii="幼圆" w:eastAsia="幼圆"/>
              </w:rPr>
              <w:drawing>
                <wp:inline distT="0" distB="0" distL="0" distR="0">
                  <wp:extent cx="2552700" cy="2038350"/>
                  <wp:effectExtent l="19050" t="0" r="0" b="0"/>
                  <wp:docPr id="301" name="图片 116" descr="DSC09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图片 116" descr="DSC09596"/>
                          <pic:cNvPicPr>
                            <a:picLocks noChangeAspect="1" noChangeArrowheads="1"/>
                          </pic:cNvPicPr>
                        </pic:nvPicPr>
                        <pic:blipFill>
                          <a:blip r:embed="rId68"/>
                          <a:srcRect/>
                          <a:stretch>
                            <a:fillRect/>
                          </a:stretch>
                        </pic:blipFill>
                        <pic:spPr>
                          <a:xfrm>
                            <a:off x="0" y="0"/>
                            <a:ext cx="2552700" cy="2038350"/>
                          </a:xfrm>
                          <a:prstGeom prst="rect">
                            <a:avLst/>
                          </a:prstGeom>
                          <a:noFill/>
                          <a:ln w="9525">
                            <a:noFill/>
                            <a:miter lim="800000"/>
                            <a:headEnd/>
                            <a:tailEnd/>
                          </a:ln>
                        </pic:spPr>
                      </pic:pic>
                    </a:graphicData>
                  </a:graphic>
                </wp:inline>
              </w:drawing>
            </w:r>
          </w:p>
        </w:tc>
        <w:tc>
          <w:tcPr>
            <w:tcW w:w="3792" w:type="dxa"/>
            <w:vAlign w:val="center"/>
          </w:tcPr>
          <w:p>
            <w:pPr>
              <w:rPr>
                <w:rFonts w:ascii="宋体" w:cs="宋体"/>
                <w:kern w:val="0"/>
                <w:szCs w:val="21"/>
              </w:rPr>
            </w:pPr>
            <w:r>
              <w:rPr>
                <w:rFonts w:ascii="宋体" w:hAnsi="宋体" w:cs="宋体"/>
                <w:kern w:val="0"/>
                <w:szCs w:val="21"/>
              </w:rPr>
              <w:t>1</w:t>
            </w:r>
            <w:r>
              <w:rPr>
                <w:rFonts w:hint="eastAsia" w:ascii="宋体" w:hAnsi="宋体" w:cs="宋体"/>
                <w:kern w:val="0"/>
                <w:szCs w:val="21"/>
              </w:rPr>
              <w:t>、原因分析</w:t>
            </w:r>
          </w:p>
          <w:p>
            <w:pPr>
              <w:rPr>
                <w:rFonts w:ascii="宋体" w:cs="宋体"/>
                <w:kern w:val="0"/>
                <w:szCs w:val="21"/>
              </w:rPr>
            </w:pPr>
            <w:r>
              <w:rPr>
                <w:rFonts w:ascii="宋体" w:hAnsi="宋体" w:cs="宋体"/>
                <w:kern w:val="0"/>
                <w:szCs w:val="21"/>
              </w:rPr>
              <w:t>1</w:t>
            </w:r>
            <w:r>
              <w:rPr>
                <w:rFonts w:hint="eastAsia" w:ascii="宋体" w:hAnsi="宋体" w:cs="宋体"/>
                <w:kern w:val="0"/>
                <w:szCs w:val="21"/>
              </w:rPr>
              <w:t>）若地龙骨垂直于门槛石方向安装，地龙骨端头距门槛石间距过大，易出现地板与木龙骨的接触面小，受力不均，导致地板安装后悬空，不牢固。</w:t>
            </w:r>
          </w:p>
          <w:p>
            <w:pPr>
              <w:rPr>
                <w:rFonts w:ascii="宋体" w:cs="宋体"/>
                <w:kern w:val="0"/>
                <w:szCs w:val="21"/>
              </w:rPr>
            </w:pPr>
            <w:r>
              <w:rPr>
                <w:rFonts w:ascii="宋体" w:hAnsi="宋体" w:cs="宋体"/>
                <w:kern w:val="0"/>
                <w:szCs w:val="21"/>
              </w:rPr>
              <w:t>2</w:t>
            </w:r>
            <w:r>
              <w:rPr>
                <w:rFonts w:hint="eastAsia" w:ascii="宋体" w:hAnsi="宋体" w:cs="宋体"/>
                <w:kern w:val="0"/>
                <w:szCs w:val="21"/>
              </w:rPr>
              <w:t>、防治措施</w:t>
            </w:r>
          </w:p>
          <w:p>
            <w:pPr>
              <w:rPr>
                <w:rFonts w:ascii="宋体" w:cs="宋体"/>
                <w:kern w:val="0"/>
                <w:szCs w:val="21"/>
              </w:rPr>
            </w:pPr>
            <w:r>
              <w:rPr>
                <w:rFonts w:ascii="宋体" w:hAnsi="宋体" w:cs="宋体"/>
                <w:kern w:val="0"/>
                <w:szCs w:val="21"/>
              </w:rPr>
              <w:t>1</w:t>
            </w:r>
            <w:r>
              <w:rPr>
                <w:rFonts w:hint="eastAsia" w:ascii="宋体" w:hAnsi="宋体" w:cs="宋体"/>
                <w:kern w:val="0"/>
                <w:szCs w:val="21"/>
              </w:rPr>
              <w:t>）门槛石与地龙骨间应垫平垫实，以确保此部位地板与门槛石平齐且牢固；</w:t>
            </w:r>
            <w:r>
              <w:rPr>
                <w:rFonts w:ascii="宋体" w:hAnsi="宋体" w:cs="宋体"/>
                <w:kern w:val="0"/>
                <w:szCs w:val="21"/>
              </w:rPr>
              <w:t>2</w:t>
            </w:r>
            <w:r>
              <w:rPr>
                <w:rFonts w:hint="eastAsia" w:ascii="宋体" w:hAnsi="宋体" w:cs="宋体"/>
                <w:kern w:val="0"/>
                <w:szCs w:val="21"/>
              </w:rPr>
              <w:t>）地板铺设的方向与进门方向一致</w:t>
            </w:r>
            <w:r>
              <w:rPr>
                <w:rFonts w:ascii="宋体" w:cs="宋体"/>
                <w:kern w:val="0"/>
                <w:szCs w:val="21"/>
              </w:rPr>
              <w:t>,</w:t>
            </w:r>
            <w:r>
              <w:rPr>
                <w:rFonts w:hint="eastAsia" w:ascii="宋体" w:hAnsi="宋体" w:cs="宋体"/>
                <w:kern w:val="0"/>
                <w:szCs w:val="21"/>
              </w:rPr>
              <w:t>可避免门口地板与门槛的收口松动问题。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2022" w:hRule="atLeast"/>
        </w:trPr>
        <w:tc>
          <w:tcPr>
            <w:tcW w:w="698" w:type="dxa"/>
            <w:vAlign w:val="center"/>
          </w:tcPr>
          <w:p>
            <w:pPr>
              <w:jc w:val="center"/>
              <w:rPr>
                <w:rFonts w:ascii="宋体"/>
                <w:szCs w:val="21"/>
              </w:rPr>
            </w:pPr>
            <w:r>
              <w:rPr>
                <w:rFonts w:ascii="宋体" w:hAnsi="宋体"/>
                <w:szCs w:val="21"/>
              </w:rPr>
              <w:t>5</w:t>
            </w:r>
          </w:p>
        </w:tc>
        <w:tc>
          <w:tcPr>
            <w:tcW w:w="828" w:type="dxa"/>
            <w:vAlign w:val="center"/>
          </w:tcPr>
          <w:p>
            <w:pPr>
              <w:jc w:val="center"/>
              <w:rPr>
                <w:rFonts w:ascii="宋体" w:hAnsi="宋体" w:cs="宋体"/>
                <w:szCs w:val="21"/>
              </w:rPr>
            </w:pPr>
            <w:r>
              <w:rPr>
                <w:rFonts w:hint="eastAsia" w:ascii="宋体" w:hAnsi="宋体" w:cs="宋体"/>
                <w:szCs w:val="21"/>
              </w:rPr>
              <w:t>地板与门套收口粗糙</w:t>
            </w:r>
          </w:p>
        </w:tc>
        <w:tc>
          <w:tcPr>
            <w:tcW w:w="4536" w:type="dxa"/>
          </w:tcPr>
          <w:p>
            <w:pPr>
              <w:jc w:val="center"/>
              <w:rPr>
                <w:rFonts w:ascii="幼圆" w:eastAsia="幼圆"/>
              </w:rPr>
            </w:pPr>
            <w:r>
              <w:rPr>
                <w:rFonts w:ascii="宋体" w:hAnsi="宋体" w:cs="宋体"/>
                <w:kern w:val="0"/>
                <w:szCs w:val="21"/>
              </w:rPr>
              <mc:AlternateContent>
                <mc:Choice Requires="wpg">
                  <w:drawing>
                    <wp:anchor distT="0" distB="0" distL="114300" distR="114300" simplePos="0" relativeHeight="251662336" behindDoc="0" locked="0" layoutInCell="1" allowOverlap="1">
                      <wp:simplePos x="0" y="0"/>
                      <wp:positionH relativeFrom="column">
                        <wp:posOffset>2184400</wp:posOffset>
                      </wp:positionH>
                      <wp:positionV relativeFrom="paragraph">
                        <wp:posOffset>192405</wp:posOffset>
                      </wp:positionV>
                      <wp:extent cx="378460" cy="374650"/>
                      <wp:effectExtent l="15240" t="20955" r="15875" b="13970"/>
                      <wp:wrapNone/>
                      <wp:docPr id="20" name="Group 153"/>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21" name="Oval 154"/>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22" name="Line 155"/>
                              <wps:cNvCnPr>
                                <a:cxnSpLocks noChangeShapeType="1"/>
                              </wps:cNvCnPr>
                              <wps:spPr bwMode="auto">
                                <a:xfrm>
                                  <a:off x="349" y="161"/>
                                  <a:ext cx="1451" cy="931"/>
                                </a:xfrm>
                                <a:prstGeom prst="line">
                                  <a:avLst/>
                                </a:prstGeom>
                                <a:noFill/>
                                <a:ln w="25400">
                                  <a:solidFill>
                                    <a:srgbClr val="FF0000"/>
                                  </a:solidFill>
                                  <a:round/>
                                </a:ln>
                              </wps:spPr>
                              <wps:bodyPr/>
                            </wps:wsp>
                            <wps:wsp>
                              <wps:cNvPr id="23" name="Line 156"/>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53" o:spid="_x0000_s1026" o:spt="203" style="position:absolute;left:0pt;margin-left:172pt;margin-top:15.15pt;height:29.5pt;width:29.8pt;z-index:251662336;mso-width-relative:page;mso-height-relative:page;" coordsize="2171,1243" o:gfxdata="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AAAAAGRycy9QSwECFAAU&#10;AAAACACHTuJAiSKmS9oAAAAJAQAADwAAAAAAAAABACAAAAAiAAAAZHJzL2Rvd25yZXYueG1sUEsB&#10;AhQAFAAAAAgAh07iQJAKOWzXAgAAsAgAAA4AAAAAAAAAAQAgAAAAKQEAAGRycy9lMm9Eb2MueG1s&#10;UEsFBgAAAAAGAAYAWQEAAHIGAAAAAA==&#10;">
                      <o:lock v:ext="edit" aspectratio="f"/>
                      <v:shape id="Oval 154" o:spid="_x0000_s1026" o:spt="3" type="#_x0000_t3" style="position:absolute;left:0;top:0;height:1243;width:2171;" filled="f" stroked="t" coordsize="21600,21600" o:gfxdata="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V9&#10;+sEAAADbAAAADwAAAAAAAAABACAAAAAiAAAAZHJzL2Rvd25yZXYueG1sUEsBAhQAFAAAAAgAh07i&#10;QDMvBZ47AAAAOQAAABAAAAAAAAAAAQAgAAAAEAEAAGRycy9zaGFwZXhtbC54bWxQSwUGAAAAAAYA&#10;BgBbAQAAugMAAAAA&#10;">
                        <v:fill on="f" focussize="0,0"/>
                        <v:stroke weight="2pt" color="#FF0000" joinstyle="round"/>
                        <v:imagedata o:title=""/>
                        <o:lock v:ext="edit" aspectratio="f"/>
                      </v:shape>
                      <v:line id="Line 155" o:spid="_x0000_s1026" o:spt="20" style="position:absolute;left:349;top:161;height:931;width:1451;" filled="f" stroked="t" coordsize="21600,21600" o:gfxdata="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sp2ovQAA&#10;ANs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56" o:spid="_x0000_s1026" o:spt="20" style="position:absolute;left:360;top:156;flip:x;height:936;width:1440;" filled="f" stroked="t" coordsize="21600,21600" o:gfxdata="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HoZBL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group>
                  </w:pict>
                </mc:Fallback>
              </mc:AlternateContent>
            </w:r>
            <w:r>
              <w:rPr>
                <w:rFonts w:ascii="黑体" w:eastAsia="黑体"/>
              </w:rPr>
              <w:drawing>
                <wp:inline distT="0" distB="0" distL="0" distR="0">
                  <wp:extent cx="2562225" cy="1943100"/>
                  <wp:effectExtent l="19050" t="0" r="9525" b="0"/>
                  <wp:docPr id="302" name="图片 15" descr="IMG_1792_缩小大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15" descr="IMG_1792_缩小大小"/>
                          <pic:cNvPicPr>
                            <a:picLocks noChangeAspect="1" noChangeArrowheads="1"/>
                          </pic:cNvPicPr>
                        </pic:nvPicPr>
                        <pic:blipFill>
                          <a:blip r:embed="rId69"/>
                          <a:srcRect/>
                          <a:stretch>
                            <a:fillRect/>
                          </a:stretch>
                        </pic:blipFill>
                        <pic:spPr>
                          <a:xfrm>
                            <a:off x="0" y="0"/>
                            <a:ext cx="2562225" cy="1943100"/>
                          </a:xfrm>
                          <a:prstGeom prst="rect">
                            <a:avLst/>
                          </a:prstGeom>
                          <a:noFill/>
                          <a:ln w="9525">
                            <a:noFill/>
                            <a:miter lim="800000"/>
                            <a:headEnd/>
                            <a:tailEnd/>
                          </a:ln>
                        </pic:spPr>
                      </pic:pic>
                    </a:graphicData>
                  </a:graphic>
                </wp:inline>
              </w:drawing>
            </w:r>
          </w:p>
        </w:tc>
        <w:tc>
          <w:tcPr>
            <w:tcW w:w="3792" w:type="dxa"/>
            <w:vAlign w:val="center"/>
          </w:tcPr>
          <w:p>
            <w:pPr>
              <w:rPr>
                <w:rFonts w:ascii="宋体" w:cs="宋体"/>
                <w:kern w:val="0"/>
                <w:szCs w:val="21"/>
              </w:rPr>
            </w:pPr>
            <w:r>
              <w:rPr>
                <w:rFonts w:ascii="宋体" w:hAnsi="宋体" w:cs="宋体"/>
                <w:kern w:val="0"/>
                <w:szCs w:val="21"/>
              </w:rPr>
              <w:t>1</w:t>
            </w:r>
            <w:r>
              <w:rPr>
                <w:rFonts w:hint="eastAsia" w:ascii="宋体" w:hAnsi="宋体" w:cs="宋体"/>
                <w:kern w:val="0"/>
                <w:szCs w:val="21"/>
              </w:rPr>
              <w:t>、原因分析</w:t>
            </w:r>
          </w:p>
          <w:p>
            <w:pPr>
              <w:rPr>
                <w:rFonts w:ascii="宋体" w:cs="宋体"/>
                <w:kern w:val="0"/>
                <w:szCs w:val="21"/>
              </w:rPr>
            </w:pPr>
            <w:r>
              <w:rPr>
                <w:rFonts w:ascii="宋体" w:hAnsi="宋体" w:cs="宋体"/>
                <w:kern w:val="0"/>
                <w:szCs w:val="21"/>
              </w:rPr>
              <w:t>1</w:t>
            </w:r>
            <w:r>
              <w:rPr>
                <w:rFonts w:hint="eastAsia" w:ascii="宋体" w:hAnsi="宋体" w:cs="宋体"/>
                <w:kern w:val="0"/>
                <w:szCs w:val="21"/>
              </w:rPr>
              <w:t>）对施工班组技术交底不清，导致工人没能采取正确的工序；</w:t>
            </w:r>
            <w:r>
              <w:rPr>
                <w:rFonts w:ascii="宋体" w:hAnsi="宋体" w:cs="宋体"/>
                <w:kern w:val="0"/>
                <w:szCs w:val="21"/>
              </w:rPr>
              <w:t>2</w:t>
            </w:r>
            <w:r>
              <w:rPr>
                <w:rFonts w:hint="eastAsia" w:ascii="宋体" w:hAnsi="宋体" w:cs="宋体"/>
                <w:kern w:val="0"/>
                <w:szCs w:val="21"/>
              </w:rPr>
              <w:t>）项目部施工过程中对施工质量监督不到位。</w:t>
            </w:r>
          </w:p>
          <w:p>
            <w:pPr>
              <w:rPr>
                <w:rFonts w:ascii="宋体" w:cs="宋体"/>
                <w:kern w:val="0"/>
                <w:szCs w:val="21"/>
              </w:rPr>
            </w:pPr>
            <w:r>
              <w:rPr>
                <w:rFonts w:ascii="宋体" w:hAnsi="宋体" w:cs="宋体"/>
                <w:kern w:val="0"/>
                <w:szCs w:val="21"/>
              </w:rPr>
              <w:t>2</w:t>
            </w:r>
            <w:r>
              <w:rPr>
                <w:rFonts w:hint="eastAsia" w:ascii="宋体" w:hAnsi="宋体" w:cs="宋体"/>
                <w:kern w:val="0"/>
                <w:szCs w:val="21"/>
              </w:rPr>
              <w:t>、防治措施</w:t>
            </w:r>
          </w:p>
          <w:p>
            <w:pPr>
              <w:rPr>
                <w:rFonts w:ascii="宋体" w:cs="宋体"/>
                <w:kern w:val="0"/>
                <w:szCs w:val="21"/>
              </w:rPr>
            </w:pPr>
            <w:r>
              <w:rPr>
                <w:rFonts w:ascii="宋体" w:hAnsi="宋体" w:cs="宋体"/>
                <w:kern w:val="0"/>
                <w:szCs w:val="21"/>
              </w:rPr>
              <w:t>1</w:t>
            </w:r>
            <w:r>
              <w:rPr>
                <w:rFonts w:hint="eastAsia" w:ascii="宋体" w:hAnsi="宋体" w:cs="宋体"/>
                <w:kern w:val="0"/>
                <w:szCs w:val="21"/>
              </w:rPr>
              <w:t>）施工技术交底要全面充分；在施工过程中要加强监督；</w:t>
            </w:r>
            <w:r>
              <w:rPr>
                <w:rFonts w:ascii="宋体" w:hAnsi="宋体" w:cs="宋体"/>
                <w:kern w:val="0"/>
                <w:szCs w:val="21"/>
              </w:rPr>
              <w:t>2</w:t>
            </w:r>
            <w:r>
              <w:rPr>
                <w:rFonts w:hint="eastAsia" w:ascii="宋体" w:hAnsi="宋体" w:cs="宋体"/>
                <w:kern w:val="0"/>
                <w:szCs w:val="21"/>
              </w:rPr>
              <w:t>）安装成品木门套时，底部应控制好与地面的距离，铺设地板时把地板插进去。</w:t>
            </w:r>
          </w:p>
        </w:tc>
      </w:tr>
    </w:tbl>
    <w:p>
      <w:pPr>
        <w:spacing w:before="120" w:beforeLines="50" w:line="360" w:lineRule="auto"/>
        <w:jc w:val="left"/>
        <w:outlineLvl w:val="2"/>
        <w:rPr>
          <w:b/>
          <w:sz w:val="24"/>
        </w:rPr>
      </w:pPr>
      <w:r>
        <w:rPr>
          <w:rFonts w:hint="eastAsia"/>
          <w:b/>
          <w:sz w:val="24"/>
        </w:rPr>
        <w:t>（5）</w:t>
      </w:r>
      <w:r>
        <w:rPr>
          <w:b/>
          <w:sz w:val="24"/>
        </w:rPr>
        <w:t xml:space="preserve">  </w:t>
      </w:r>
      <w:r>
        <w:rPr>
          <w:rFonts w:hint="eastAsia"/>
          <w:b/>
          <w:sz w:val="24"/>
        </w:rPr>
        <w:t>验收要求：</w:t>
      </w:r>
    </w:p>
    <w:p>
      <w:pPr>
        <w:spacing w:line="360" w:lineRule="auto"/>
        <w:rPr>
          <w:sz w:val="24"/>
        </w:rPr>
      </w:pPr>
      <w:r>
        <w:rPr>
          <w:rFonts w:hint="eastAsia"/>
          <w:sz w:val="24"/>
        </w:rPr>
        <w:t>应符合《建筑地面工程施工质量验收规范》实木地板、实木集成地板、竹木地板面层的要求</w:t>
      </w:r>
      <w:r>
        <w:rPr>
          <w:rFonts w:hint="eastAsia" w:hAnsi="宋体"/>
          <w:sz w:val="24"/>
        </w:rPr>
        <w:t>，以及本《指引》的相关要求</w:t>
      </w:r>
      <w:r>
        <w:rPr>
          <w:rFonts w:hint="eastAsia"/>
          <w:sz w:val="24"/>
        </w:rPr>
        <w:t>。</w:t>
      </w:r>
    </w:p>
    <w:p>
      <w:pPr>
        <w:pStyle w:val="3"/>
      </w:pPr>
      <w:r>
        <w:rPr>
          <w:rFonts w:hint="eastAsia"/>
          <w:sz w:val="24"/>
        </w:rPr>
        <w:t>7、</w:t>
      </w:r>
      <w:r>
        <w:rPr>
          <w:rFonts w:hint="eastAsia"/>
        </w:rPr>
        <w:t>地毯</w:t>
      </w:r>
    </w:p>
    <w:p>
      <w:pPr>
        <w:spacing w:before="120" w:beforeLines="50" w:line="360" w:lineRule="auto"/>
        <w:jc w:val="left"/>
        <w:outlineLvl w:val="2"/>
        <w:rPr>
          <w:b/>
          <w:sz w:val="24"/>
        </w:rPr>
      </w:pPr>
      <w:r>
        <w:rPr>
          <w:rFonts w:hint="eastAsia"/>
          <w:b/>
          <w:sz w:val="24"/>
        </w:rPr>
        <w:t>（1）</w:t>
      </w:r>
      <w:r>
        <w:rPr>
          <w:b/>
          <w:sz w:val="24"/>
        </w:rPr>
        <w:t xml:space="preserve">  </w:t>
      </w:r>
      <w:r>
        <w:rPr>
          <w:rFonts w:hint="eastAsia"/>
          <w:b/>
          <w:sz w:val="24"/>
        </w:rPr>
        <w:t>材料要求</w:t>
      </w:r>
    </w:p>
    <w:p>
      <w:pPr>
        <w:spacing w:line="360" w:lineRule="auto"/>
        <w:ind w:firstLine="240" w:firstLineChars="100"/>
        <w:rPr>
          <w:sz w:val="24"/>
        </w:rPr>
      </w:pPr>
      <w:r>
        <w:rPr>
          <w:sz w:val="24"/>
        </w:rPr>
        <w:t>1</w:t>
      </w:r>
      <w:r>
        <w:rPr>
          <w:rFonts w:hint="eastAsia"/>
          <w:sz w:val="24"/>
        </w:rPr>
        <w:t>）</w:t>
      </w:r>
      <w:r>
        <w:rPr>
          <w:sz w:val="24"/>
        </w:rPr>
        <w:t xml:space="preserve">  </w:t>
      </w:r>
      <w:r>
        <w:fldChar w:fldCharType="begin"/>
      </w:r>
      <w:r>
        <w:instrText xml:space="preserve"> HYPERLINK "http://www.bmlink.com/bst/knowledge/search_s%b5%d8%cc%ba&amp;_1.html" \t "_blank" </w:instrText>
      </w:r>
      <w:r>
        <w:fldChar w:fldCharType="separate"/>
      </w:r>
      <w:r>
        <w:rPr>
          <w:sz w:val="24"/>
        </w:rPr>
        <w:t>地毯</w:t>
      </w:r>
      <w:r>
        <w:rPr>
          <w:sz w:val="24"/>
        </w:rPr>
        <w:fldChar w:fldCharType="end"/>
      </w:r>
      <w:r>
        <w:rPr>
          <w:sz w:val="24"/>
        </w:rPr>
        <w:t>的品种、规格、主要性能和技术指标应符合设计要求，应有出厂合格证明。</w:t>
      </w:r>
    </w:p>
    <w:p>
      <w:pPr>
        <w:spacing w:line="360" w:lineRule="auto"/>
        <w:ind w:firstLine="240" w:firstLineChars="100"/>
        <w:rPr>
          <w:sz w:val="24"/>
        </w:rPr>
      </w:pPr>
      <w:r>
        <w:rPr>
          <w:sz w:val="24"/>
        </w:rPr>
        <w:t>2</w:t>
      </w:r>
      <w:r>
        <w:rPr>
          <w:rFonts w:hint="eastAsia"/>
          <w:sz w:val="24"/>
        </w:rPr>
        <w:t>）</w:t>
      </w:r>
      <w:r>
        <w:rPr>
          <w:sz w:val="24"/>
        </w:rPr>
        <w:t xml:space="preserve">  胶粘剂：无毒、不霉、快干</w:t>
      </w:r>
      <w:r>
        <w:rPr>
          <w:rFonts w:hint="eastAsia"/>
          <w:sz w:val="24"/>
        </w:rPr>
        <w:t>，</w:t>
      </w:r>
      <w:r>
        <w:rPr>
          <w:sz w:val="24"/>
        </w:rPr>
        <w:t>0.5h之内使用张紧器时不脱缝，对地面有足够的粘结强度、可剥离、施工方便的胶粘剂，均可用于地毯与地面、地毯与地毯宫接拼缝处的粘结。一般采用天然乳胶添加增稠剂、防霉剂等制成的胶粘剂，主要性能和技术指标应符合设计要求，应有出厂合格证明，必要时做复试。</w:t>
      </w:r>
    </w:p>
    <w:p>
      <w:pPr>
        <w:spacing w:line="360" w:lineRule="auto"/>
        <w:ind w:firstLine="240" w:firstLineChars="100"/>
        <w:rPr>
          <w:sz w:val="24"/>
        </w:rPr>
      </w:pPr>
      <w:r>
        <w:rPr>
          <w:sz w:val="24"/>
        </w:rPr>
        <w:t>3</w:t>
      </w:r>
      <w:r>
        <w:rPr>
          <w:rFonts w:hint="eastAsia"/>
          <w:sz w:val="24"/>
        </w:rPr>
        <w:t>)</w:t>
      </w:r>
      <w:r>
        <w:rPr>
          <w:sz w:val="24"/>
        </w:rPr>
        <w:t xml:space="preserve">  倒刺钉板条：在1200</w:t>
      </w:r>
      <w:r>
        <w:rPr>
          <w:rFonts w:hAnsi="宋体"/>
          <w:sz w:val="24"/>
        </w:rPr>
        <w:t>㎜</w:t>
      </w:r>
      <w:r>
        <w:rPr>
          <w:sz w:val="24"/>
        </w:rPr>
        <w:t>×24</w:t>
      </w:r>
      <w:r>
        <w:rPr>
          <w:rFonts w:hAnsi="宋体"/>
          <w:sz w:val="24"/>
        </w:rPr>
        <w:t>㎜</w:t>
      </w:r>
      <w:r>
        <w:rPr>
          <w:sz w:val="24"/>
        </w:rPr>
        <w:t>×6</w:t>
      </w:r>
      <w:r>
        <w:rPr>
          <w:rFonts w:hAnsi="宋体"/>
          <w:sz w:val="24"/>
        </w:rPr>
        <w:t>㎜</w:t>
      </w:r>
      <w:r>
        <w:rPr>
          <w:sz w:val="24"/>
        </w:rPr>
        <w:t>的三合板条上钉有两排斜钉（间距为35</w:t>
      </w:r>
      <w:r>
        <w:rPr>
          <w:rFonts w:ascii="宋体" w:hAnsi="宋体"/>
          <w:sz w:val="24"/>
        </w:rPr>
        <w:t>㎜</w:t>
      </w:r>
      <w:r>
        <w:rPr>
          <w:rFonts w:hint="eastAsia" w:ascii="宋体" w:hAnsi="宋体"/>
          <w:sz w:val="24"/>
        </w:rPr>
        <w:t>～</w:t>
      </w:r>
      <w:r>
        <w:rPr>
          <w:sz w:val="24"/>
        </w:rPr>
        <w:t>40</w:t>
      </w:r>
      <w:r>
        <w:rPr>
          <w:rFonts w:hAnsi="宋体"/>
          <w:sz w:val="24"/>
        </w:rPr>
        <w:t>㎜</w:t>
      </w:r>
      <w:r>
        <w:rPr>
          <w:sz w:val="24"/>
        </w:rPr>
        <w:t>），还有五个高强钢钉均匀分布在全长上（钢钉间距约400</w:t>
      </w:r>
      <w:r>
        <w:rPr>
          <w:rFonts w:hAnsi="宋体"/>
          <w:sz w:val="24"/>
        </w:rPr>
        <w:t>㎜</w:t>
      </w:r>
      <w:r>
        <w:rPr>
          <w:sz w:val="24"/>
        </w:rPr>
        <w:t>左右，距两端各约100</w:t>
      </w:r>
      <w:r>
        <w:rPr>
          <w:rFonts w:hAnsi="宋体"/>
          <w:sz w:val="24"/>
        </w:rPr>
        <w:t>㎜</w:t>
      </w:r>
      <w:r>
        <w:rPr>
          <w:sz w:val="24"/>
        </w:rPr>
        <w:t>左右）。</w:t>
      </w:r>
    </w:p>
    <w:p>
      <w:pPr>
        <w:spacing w:line="360" w:lineRule="auto"/>
        <w:ind w:firstLine="240" w:firstLineChars="100"/>
        <w:rPr>
          <w:sz w:val="24"/>
        </w:rPr>
      </w:pPr>
      <w:r>
        <w:rPr>
          <w:sz w:val="24"/>
        </w:rPr>
        <w:t>4</w:t>
      </w:r>
      <w:r>
        <w:rPr>
          <w:rFonts w:hint="eastAsia"/>
          <w:sz w:val="24"/>
        </w:rPr>
        <w:t>)</w:t>
      </w:r>
      <w:r>
        <w:rPr>
          <w:sz w:val="24"/>
        </w:rPr>
        <w:t xml:space="preserve">  </w:t>
      </w:r>
      <w:r>
        <w:fldChar w:fldCharType="begin"/>
      </w:r>
      <w:r>
        <w:instrText xml:space="preserve"> HYPERLINK "http://www.bmlink.com/bst/knowledge/search_s%c2%c1%ba%cf%bd%f0&amp;_1.html" \t "_blank" </w:instrText>
      </w:r>
      <w:r>
        <w:fldChar w:fldCharType="separate"/>
      </w:r>
      <w:r>
        <w:rPr>
          <w:sz w:val="24"/>
        </w:rPr>
        <w:t>铝合金</w:t>
      </w:r>
      <w:r>
        <w:rPr>
          <w:sz w:val="24"/>
        </w:rPr>
        <w:fldChar w:fldCharType="end"/>
      </w:r>
      <w:r>
        <w:rPr>
          <w:sz w:val="24"/>
        </w:rPr>
        <w:t>倒刺条：用于地毯端头露明处，起固定和收头作用，多用在外门口或其他材料的地面相接处。</w:t>
      </w:r>
    </w:p>
    <w:p>
      <w:pPr>
        <w:spacing w:line="360" w:lineRule="auto"/>
        <w:ind w:firstLine="240" w:firstLineChars="100"/>
        <w:rPr>
          <w:sz w:val="24"/>
        </w:rPr>
      </w:pPr>
      <w:r>
        <w:rPr>
          <w:sz w:val="24"/>
        </w:rPr>
        <w:t>5</w:t>
      </w:r>
      <w:r>
        <w:rPr>
          <w:rFonts w:hint="eastAsia"/>
          <w:sz w:val="24"/>
        </w:rPr>
        <w:t>)</w:t>
      </w:r>
      <w:r>
        <w:rPr>
          <w:sz w:val="24"/>
        </w:rPr>
        <w:t xml:space="preserve">  铝压条：宜采用厚度为2</w:t>
      </w:r>
      <w:r>
        <w:rPr>
          <w:rFonts w:hAnsi="宋体"/>
          <w:sz w:val="24"/>
        </w:rPr>
        <w:t>㎜</w:t>
      </w:r>
      <w:r>
        <w:rPr>
          <w:sz w:val="24"/>
        </w:rPr>
        <w:t>左右的铝合金材料制成，用于门框下的地面处，压住地毯的边缘，使其免于被踢起或损坏。</w:t>
      </w:r>
    </w:p>
    <w:p>
      <w:pPr>
        <w:spacing w:before="120" w:beforeLines="50" w:line="360" w:lineRule="auto"/>
        <w:jc w:val="left"/>
        <w:outlineLvl w:val="2"/>
        <w:rPr>
          <w:b/>
          <w:sz w:val="24"/>
        </w:rPr>
      </w:pPr>
      <w:r>
        <w:rPr>
          <w:rFonts w:hint="eastAsia"/>
          <w:b/>
          <w:sz w:val="24"/>
        </w:rPr>
        <w:t>(2)</w:t>
      </w:r>
      <w:r>
        <w:rPr>
          <w:b/>
          <w:sz w:val="24"/>
        </w:rPr>
        <w:t xml:space="preserve">  </w:t>
      </w:r>
      <w:r>
        <w:rPr>
          <w:rFonts w:hint="eastAsia"/>
          <w:b/>
          <w:sz w:val="24"/>
        </w:rPr>
        <w:t>施工要求</w:t>
      </w:r>
    </w:p>
    <w:p>
      <w:pPr>
        <w:spacing w:line="360" w:lineRule="auto"/>
        <w:ind w:firstLine="120" w:firstLineChars="50"/>
        <w:rPr>
          <w:sz w:val="24"/>
        </w:rPr>
      </w:pPr>
      <w:r>
        <w:rPr>
          <w:sz w:val="24"/>
        </w:rPr>
        <w:t>1</w:t>
      </w:r>
      <w:r>
        <w:rPr>
          <w:rFonts w:hint="eastAsia"/>
          <w:sz w:val="24"/>
        </w:rPr>
        <w:t>)</w:t>
      </w:r>
      <w:r>
        <w:rPr>
          <w:sz w:val="24"/>
        </w:rPr>
        <w:t xml:space="preserve">  </w:t>
      </w:r>
      <w:r>
        <w:rPr>
          <w:rFonts w:hint="eastAsia"/>
          <w:sz w:val="24"/>
        </w:rPr>
        <w:t>施工工序流程</w:t>
      </w:r>
    </w:p>
    <w:p>
      <w:pPr>
        <w:ind w:firstLine="420" w:firstLineChars="200"/>
        <w:rPr>
          <w:rFonts w:ascii="宋体" w:hAnsi="宋体"/>
        </w:rPr>
      </w:pPr>
      <w:r>
        <w:rPr>
          <w:rFonts w:ascii="宋体" w:hAnsi="宋体"/>
        </w:rPr>
        <w:drawing>
          <wp:inline distT="0" distB="0" distL="0" distR="0">
            <wp:extent cx="5572125" cy="800100"/>
            <wp:effectExtent l="19050" t="0" r="0" b="0"/>
            <wp:docPr id="30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Picture 38"/>
                    <pic:cNvPicPr>
                      <a:picLocks noChangeAspect="1" noChangeArrowheads="1"/>
                    </pic:cNvPicPr>
                  </pic:nvPicPr>
                  <pic:blipFill>
                    <a:blip r:embed="rId70"/>
                    <a:srcRect/>
                    <a:stretch>
                      <a:fillRect/>
                    </a:stretch>
                  </pic:blipFill>
                  <pic:spPr>
                    <a:xfrm>
                      <a:off x="0" y="0"/>
                      <a:ext cx="5572125" cy="800100"/>
                    </a:xfrm>
                    <a:prstGeom prst="rect">
                      <a:avLst/>
                    </a:prstGeom>
                    <a:noFill/>
                    <a:ln w="9525">
                      <a:noFill/>
                      <a:miter lim="800000"/>
                      <a:headEnd/>
                      <a:tailEnd/>
                    </a:ln>
                  </pic:spPr>
                </pic:pic>
              </a:graphicData>
            </a:graphic>
          </wp:inline>
        </w:drawing>
      </w:r>
    </w:p>
    <w:p>
      <w:pPr>
        <w:spacing w:line="360" w:lineRule="auto"/>
        <w:ind w:firstLine="120" w:firstLineChars="50"/>
        <w:rPr>
          <w:sz w:val="24"/>
        </w:rPr>
      </w:pPr>
      <w:r>
        <w:rPr>
          <w:sz w:val="24"/>
        </w:rPr>
        <w:t>2</w:t>
      </w:r>
      <w:r>
        <w:rPr>
          <w:rFonts w:hint="eastAsia"/>
          <w:sz w:val="24"/>
        </w:rPr>
        <w:t>)</w:t>
      </w:r>
      <w:r>
        <w:rPr>
          <w:sz w:val="24"/>
        </w:rPr>
        <w:t xml:space="preserve">  </w:t>
      </w:r>
      <w:r>
        <w:rPr>
          <w:rFonts w:hint="eastAsia"/>
          <w:sz w:val="24"/>
        </w:rPr>
        <w:t>操作要点</w:t>
      </w:r>
      <w:r>
        <w:rPr>
          <w:sz w:val="24"/>
        </w:rPr>
        <w:t xml:space="preserve"> </w:t>
      </w:r>
    </w:p>
    <w:p>
      <w:pPr>
        <w:spacing w:line="360" w:lineRule="auto"/>
        <w:ind w:firstLine="120" w:firstLineChars="50"/>
        <w:rPr>
          <w:rFonts w:ascii="宋体" w:hAnsi="宋体"/>
        </w:rPr>
      </w:pPr>
      <w:r>
        <w:rPr>
          <w:rFonts w:hint="eastAsia"/>
          <w:sz w:val="24"/>
        </w:rPr>
        <w:t>a）基层处理：铺设地毯的基层，本工程地毯基层采用是水泥地面，其含水率不大于</w:t>
      </w:r>
      <w:r>
        <w:rPr>
          <w:sz w:val="24"/>
        </w:rPr>
        <w:t>8%</w:t>
      </w:r>
      <w:r>
        <w:rPr>
          <w:rFonts w:hint="eastAsia"/>
          <w:sz w:val="24"/>
        </w:rPr>
        <w:t>，表面平整偏</w:t>
      </w:r>
      <w:r>
        <w:rPr>
          <w:rFonts w:hint="eastAsia" w:ascii="宋体" w:hAnsi="宋体"/>
        </w:rPr>
        <w:t>差不大于</w:t>
      </w:r>
      <w:r>
        <w:rPr>
          <w:rFonts w:ascii="宋体" w:hAnsi="宋体"/>
        </w:rPr>
        <w:t>4</w:t>
      </w:r>
      <w:r>
        <w:rPr>
          <w:rFonts w:hint="eastAsia" w:ascii="宋体" w:hAnsi="宋体"/>
        </w:rPr>
        <w:t>㎜。</w:t>
      </w:r>
    </w:p>
    <w:p>
      <w:pPr>
        <w:spacing w:line="360" w:lineRule="auto"/>
        <w:ind w:firstLine="120" w:firstLineChars="50"/>
        <w:rPr>
          <w:sz w:val="24"/>
        </w:rPr>
      </w:pPr>
      <w:r>
        <w:rPr>
          <w:rFonts w:hint="eastAsia"/>
          <w:sz w:val="24"/>
        </w:rPr>
        <w:t>b）弹线、套方、分格、定位：要严格按照设计图纸对各个不同部位和房间的具体要求进行弹线、套方、分格，如图纸没具体要求时，应对称找中并弹线后定位铺设。</w:t>
      </w:r>
    </w:p>
    <w:p>
      <w:pPr>
        <w:spacing w:line="360" w:lineRule="auto"/>
        <w:ind w:firstLine="120" w:firstLineChars="50"/>
        <w:rPr>
          <w:sz w:val="24"/>
        </w:rPr>
      </w:pPr>
      <w:r>
        <w:rPr>
          <w:rFonts w:hint="eastAsia"/>
          <w:sz w:val="24"/>
        </w:rPr>
        <w:t>c）地毯剪裁：应精确测量房间尺寸，并按房间和所用地毯型号逐一登记编号。然后根据</w:t>
      </w:r>
      <w:r>
        <w:rPr>
          <w:sz w:val="24"/>
        </w:rPr>
        <w:t>房间尺寸、形状用裁边机断下地毯料，每段地毯的长度要比房间长出20</w:t>
      </w:r>
      <w:r>
        <w:rPr>
          <w:rFonts w:hAnsi="宋体"/>
          <w:sz w:val="24"/>
        </w:rPr>
        <w:t>㎜</w:t>
      </w:r>
      <w:r>
        <w:rPr>
          <w:sz w:val="24"/>
        </w:rPr>
        <w:t>左右，宽度要以裁去地毯边缘线后的尺寸计算。</w:t>
      </w:r>
    </w:p>
    <w:p>
      <w:pPr>
        <w:spacing w:line="360" w:lineRule="auto"/>
        <w:ind w:firstLine="120" w:firstLineChars="50"/>
        <w:rPr>
          <w:sz w:val="24"/>
        </w:rPr>
      </w:pPr>
      <w:r>
        <w:rPr>
          <w:rFonts w:hint="eastAsia"/>
          <w:sz w:val="24"/>
        </w:rPr>
        <w:t>d</w:t>
      </w:r>
      <w:r>
        <w:rPr>
          <w:sz w:val="24"/>
        </w:rPr>
        <w:t>）钉倒刺板挂毯条：沿房间或走道四周踢脚板边缘，用高强水泥钉将倒刺板钉在基层上（钉朝向墙的方向），其间距约400</w:t>
      </w:r>
      <w:r>
        <w:rPr>
          <w:rFonts w:hAnsi="宋体"/>
          <w:sz w:val="24"/>
        </w:rPr>
        <w:t>㎜</w:t>
      </w:r>
      <w:r>
        <w:rPr>
          <w:sz w:val="24"/>
        </w:rPr>
        <w:t>左右。倒刺板应离开踢脚板面8</w:t>
      </w:r>
      <w:r>
        <w:rPr>
          <w:rFonts w:hAnsi="宋体"/>
          <w:sz w:val="24"/>
        </w:rPr>
        <w:t>㎜</w:t>
      </w:r>
      <w:r>
        <w:rPr>
          <w:sz w:val="24"/>
        </w:rPr>
        <w:t>～10</w:t>
      </w:r>
      <w:r>
        <w:rPr>
          <w:rFonts w:hAnsi="宋体"/>
          <w:sz w:val="24"/>
        </w:rPr>
        <w:t>㎜</w:t>
      </w:r>
      <w:r>
        <w:rPr>
          <w:sz w:val="24"/>
        </w:rPr>
        <w:t>。</w:t>
      </w:r>
    </w:p>
    <w:p>
      <w:pPr>
        <w:spacing w:line="360" w:lineRule="auto"/>
        <w:ind w:firstLine="120" w:firstLineChars="50"/>
        <w:rPr>
          <w:sz w:val="24"/>
        </w:rPr>
      </w:pPr>
      <w:r>
        <w:rPr>
          <w:rFonts w:hint="eastAsia"/>
          <w:sz w:val="24"/>
        </w:rPr>
        <w:t>e</w:t>
      </w:r>
      <w:r>
        <w:rPr>
          <w:sz w:val="24"/>
        </w:rPr>
        <w:t>）铺设衬垫：将衬垫采用点粘法刷107胶或聚醋酸乙烯乳胶，粘在地面基层上，要离开倒刺板10</w:t>
      </w:r>
      <w:r>
        <w:rPr>
          <w:rFonts w:hAnsi="宋体"/>
          <w:sz w:val="24"/>
        </w:rPr>
        <w:t>㎜</w:t>
      </w:r>
      <w:r>
        <w:rPr>
          <w:sz w:val="24"/>
        </w:rPr>
        <w:t>左右。</w:t>
      </w:r>
    </w:p>
    <w:p>
      <w:pPr>
        <w:spacing w:line="360" w:lineRule="auto"/>
        <w:ind w:firstLine="120" w:firstLineChars="50"/>
        <w:rPr>
          <w:sz w:val="24"/>
        </w:rPr>
      </w:pPr>
      <w:r>
        <w:rPr>
          <w:rFonts w:hint="eastAsia"/>
          <w:sz w:val="24"/>
        </w:rPr>
        <w:t>f</w:t>
      </w:r>
      <w:r>
        <w:rPr>
          <w:sz w:val="24"/>
        </w:rPr>
        <w:t>）铺设地毯</w:t>
      </w:r>
    </w:p>
    <w:p>
      <w:pPr>
        <w:spacing w:line="360" w:lineRule="auto"/>
        <w:ind w:firstLine="120" w:firstLineChars="50"/>
        <w:rPr>
          <w:sz w:val="24"/>
        </w:rPr>
      </w:pPr>
      <w:r>
        <w:rPr>
          <w:rFonts w:hint="eastAsia"/>
          <w:sz w:val="24"/>
        </w:rPr>
        <w:t>① 缝合地毯：将裁好的地毯虚铺在垫层上，然后将地毯卷起，在拼接处缝合。缝合完毕，用塑料胶纸贴于缝合处，保护接缝处不被划破或勾起，然后将地毯平铺，用弯钉在接缝处做绒毛密实的缝合。</w:t>
      </w:r>
    </w:p>
    <w:p>
      <w:pPr>
        <w:spacing w:line="360" w:lineRule="auto"/>
        <w:ind w:firstLine="120" w:firstLineChars="50"/>
        <w:rPr>
          <w:sz w:val="24"/>
        </w:rPr>
      </w:pPr>
      <w:r>
        <w:rPr>
          <w:rFonts w:hint="eastAsia"/>
          <w:sz w:val="24"/>
        </w:rPr>
        <w:t>② 拉伸与固定地毯：先将地毯的一条长边固定在倒刺板上，毛边掩到踢脚板下，用地毯撑子拉伸地毯。拉伸时，用手压住地毯撑，用膝撞击地毯撑，从一边一步一步推向另一边。如一遍未能拉平，应重复拉伸，直至拉平为止。然后将地毯固定在另一条倒刺板上，掩好毛边。长出的地毯，用裁割刀割掉。一个方向拉伸完毕，再进行另一个方向的拉伸，直至四个边都固定在倒刺板上。铺粘地毯时，先在房间一边涂刷胶粘剂后，铺放已预先裁割的地毯，然后用地毯撑子向两边撑拉，再沿墙边刷两条胶粘剂，将地毯压平掩边。</w:t>
      </w:r>
    </w:p>
    <w:p>
      <w:pPr>
        <w:spacing w:line="360" w:lineRule="auto"/>
        <w:ind w:firstLine="120" w:firstLineChars="50"/>
        <w:rPr>
          <w:sz w:val="24"/>
        </w:rPr>
      </w:pPr>
      <w:r>
        <w:rPr>
          <w:rFonts w:hint="eastAsia"/>
          <w:sz w:val="24"/>
        </w:rPr>
        <w:t>g）毯边收口：地毯铺设后在墙和柱的根部、不同材质地面相接处、门口等地毯边缘应做收口固定处理。</w:t>
      </w:r>
    </w:p>
    <w:p>
      <w:pPr>
        <w:spacing w:line="360" w:lineRule="auto"/>
        <w:ind w:firstLine="120" w:firstLineChars="50"/>
        <w:rPr>
          <w:sz w:val="24"/>
        </w:rPr>
      </w:pPr>
      <w:r>
        <w:rPr>
          <w:rFonts w:hint="eastAsia"/>
          <w:sz w:val="24"/>
        </w:rPr>
        <w:t>① 墙和柱的根部：将地毯毛边塞进木卡条与踢脚的缝隙内。</w:t>
      </w:r>
    </w:p>
    <w:p>
      <w:pPr>
        <w:spacing w:line="360" w:lineRule="auto"/>
        <w:ind w:firstLine="120" w:firstLineChars="50"/>
        <w:rPr>
          <w:sz w:val="24"/>
        </w:rPr>
      </w:pPr>
      <w:r>
        <w:rPr>
          <w:rFonts w:hint="eastAsia"/>
          <w:sz w:val="24"/>
        </w:rPr>
        <w:t>② 不同材料地面相接处：应镶铜条或者用不锈钢条。</w:t>
      </w:r>
    </w:p>
    <w:p>
      <w:pPr>
        <w:spacing w:line="360" w:lineRule="auto"/>
        <w:ind w:firstLine="120" w:firstLineChars="50"/>
        <w:rPr>
          <w:sz w:val="24"/>
        </w:rPr>
      </w:pPr>
      <w:r>
        <w:rPr>
          <w:rFonts w:hint="eastAsia"/>
          <w:sz w:val="24"/>
        </w:rPr>
        <w:t>③ 门口和出入口处：应加收口条。</w:t>
      </w:r>
    </w:p>
    <w:p>
      <w:pPr>
        <w:spacing w:line="360" w:lineRule="auto"/>
        <w:ind w:firstLine="120" w:firstLineChars="50"/>
        <w:rPr>
          <w:sz w:val="24"/>
        </w:rPr>
      </w:pPr>
      <w:r>
        <w:rPr>
          <w:rFonts w:hint="eastAsia"/>
          <w:sz w:val="24"/>
        </w:rPr>
        <w:t>h）修整、清理：地毯铺完后要全面自检一遍，如发现飞边现象，用压毯铲将地毯的飞边塞进木卡条与踢脚的空隙内，毯边不得外露；接缝处绒毛有突出的，使用剪刀或电铲修剪平齐；拔掉临时固定的钢钉，用软毛帚扫清地毯面上的杂物，用吸尘器清理毯面的灰尘。</w:t>
      </w:r>
    </w:p>
    <w:p>
      <w:pPr>
        <w:spacing w:line="360" w:lineRule="auto"/>
        <w:ind w:firstLine="120" w:firstLineChars="50"/>
        <w:rPr>
          <w:sz w:val="24"/>
        </w:rPr>
      </w:pPr>
      <w:r>
        <w:rPr>
          <w:rFonts w:hint="eastAsia"/>
          <w:sz w:val="24"/>
        </w:rPr>
        <w:t>i）加强成品保护，在出入口处安装地席或地垫，准备拖鞋，以减少污物、砂浆等带入。在人流多的通道、大厅应铺盖塑料布、苫布等加以保护，确保工程质量。</w:t>
      </w:r>
    </w:p>
    <w:p>
      <w:pPr>
        <w:spacing w:before="120" w:beforeLines="50" w:line="360" w:lineRule="auto"/>
        <w:jc w:val="left"/>
        <w:outlineLvl w:val="2"/>
        <w:rPr>
          <w:b/>
          <w:sz w:val="24"/>
        </w:rPr>
      </w:pPr>
      <w:r>
        <w:rPr>
          <w:rFonts w:hint="eastAsia"/>
          <w:b/>
          <w:sz w:val="24"/>
        </w:rPr>
        <w:t>(3)</w:t>
      </w:r>
      <w:r>
        <w:rPr>
          <w:b/>
          <w:sz w:val="24"/>
        </w:rPr>
        <w:t xml:space="preserve">  </w:t>
      </w:r>
      <w:r>
        <w:rPr>
          <w:rFonts w:hint="eastAsia"/>
          <w:b/>
          <w:sz w:val="24"/>
        </w:rPr>
        <w:t>工程实例</w:t>
      </w:r>
    </w:p>
    <w:tbl>
      <w:tblPr>
        <w:tblStyle w:val="43"/>
        <w:tblW w:w="9180" w:type="dxa"/>
        <w:jc w:val="center"/>
        <w:tblInd w:w="0" w:type="dxa"/>
        <w:tblLayout w:type="fixed"/>
        <w:tblCellMar>
          <w:top w:w="0" w:type="dxa"/>
          <w:left w:w="108" w:type="dxa"/>
          <w:bottom w:w="0" w:type="dxa"/>
          <w:right w:w="108" w:type="dxa"/>
        </w:tblCellMar>
      </w:tblPr>
      <w:tblGrid>
        <w:gridCol w:w="4455"/>
        <w:gridCol w:w="561"/>
        <w:gridCol w:w="4164"/>
      </w:tblGrid>
      <w:tr>
        <w:tblPrEx>
          <w:tblLayout w:type="fixed"/>
        </w:tblPrEx>
        <w:trPr>
          <w:jc w:val="center"/>
        </w:trPr>
        <w:tc>
          <w:tcPr>
            <w:tcW w:w="5016" w:type="dxa"/>
            <w:gridSpan w:val="2"/>
          </w:tcPr>
          <w:p>
            <w:pPr>
              <w:jc w:val="center"/>
            </w:pPr>
            <w:r>
              <w:drawing>
                <wp:inline distT="0" distB="0" distL="0" distR="0">
                  <wp:extent cx="3048000" cy="2133600"/>
                  <wp:effectExtent l="19050" t="0" r="0" b="0"/>
                  <wp:docPr id="304" name="Picture 3" descr="DSC0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Picture 3" descr="DSC02332"/>
                          <pic:cNvPicPr>
                            <a:picLocks noChangeAspect="1" noChangeArrowheads="1"/>
                          </pic:cNvPicPr>
                        </pic:nvPicPr>
                        <pic:blipFill>
                          <a:blip r:embed="rId71">
                            <a:lum bright="12000" contrast="36000"/>
                          </a:blip>
                          <a:srcRect/>
                          <a:stretch>
                            <a:fillRect/>
                          </a:stretch>
                        </pic:blipFill>
                        <pic:spPr>
                          <a:xfrm>
                            <a:off x="0" y="0"/>
                            <a:ext cx="3048000" cy="2133600"/>
                          </a:xfrm>
                          <a:prstGeom prst="rect">
                            <a:avLst/>
                          </a:prstGeom>
                          <a:noFill/>
                          <a:ln w="9525">
                            <a:noFill/>
                            <a:miter lim="800000"/>
                            <a:headEnd/>
                            <a:tailEnd/>
                          </a:ln>
                        </pic:spPr>
                      </pic:pic>
                    </a:graphicData>
                  </a:graphic>
                </wp:inline>
              </w:drawing>
            </w:r>
          </w:p>
        </w:tc>
        <w:tc>
          <w:tcPr>
            <w:tcW w:w="4164" w:type="dxa"/>
          </w:tcPr>
          <w:p>
            <w:pPr>
              <w:jc w:val="center"/>
            </w:pPr>
            <w:r>
              <w:drawing>
                <wp:inline distT="0" distB="0" distL="0" distR="0">
                  <wp:extent cx="2105025" cy="2143125"/>
                  <wp:effectExtent l="19050" t="0" r="9525" b="0"/>
                  <wp:docPr id="305" name="Picture 4" descr="小地毯特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Picture 4" descr="小地毯特写"/>
                          <pic:cNvPicPr>
                            <a:picLocks noChangeAspect="1" noChangeArrowheads="1"/>
                          </pic:cNvPicPr>
                        </pic:nvPicPr>
                        <pic:blipFill>
                          <a:blip r:embed="rId72"/>
                          <a:srcRect/>
                          <a:stretch>
                            <a:fillRect/>
                          </a:stretch>
                        </pic:blipFill>
                        <pic:spPr>
                          <a:xfrm>
                            <a:off x="0" y="0"/>
                            <a:ext cx="2105025" cy="2143125"/>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9180" w:type="dxa"/>
            <w:gridSpan w:val="3"/>
          </w:tcPr>
          <w:p>
            <w:pPr>
              <w:pStyle w:val="93"/>
              <w:spacing w:line="240" w:lineRule="auto"/>
            </w:pPr>
            <w:r>
              <w:rPr>
                <w:rFonts w:hint="eastAsia"/>
                <w:bCs/>
                <w:szCs w:val="21"/>
              </w:rPr>
              <w:t>地毯铺贴牢固、平整、对花吻合，收口整齐</w:t>
            </w:r>
          </w:p>
        </w:tc>
      </w:tr>
      <w:tr>
        <w:tblPrEx>
          <w:tblLayout w:type="fixed"/>
          <w:tblCellMar>
            <w:top w:w="0" w:type="dxa"/>
            <w:left w:w="108" w:type="dxa"/>
            <w:bottom w:w="0" w:type="dxa"/>
            <w:right w:w="108" w:type="dxa"/>
          </w:tblCellMar>
        </w:tblPrEx>
        <w:trPr>
          <w:jc w:val="center"/>
        </w:trPr>
        <w:tc>
          <w:tcPr>
            <w:tcW w:w="9180" w:type="dxa"/>
            <w:gridSpan w:val="3"/>
          </w:tcPr>
          <w:p>
            <w:pPr>
              <w:pStyle w:val="93"/>
              <w:spacing w:line="240" w:lineRule="auto"/>
              <w:rPr>
                <w:szCs w:val="21"/>
              </w:rPr>
            </w:pPr>
            <w:r>
              <w:rPr>
                <w:szCs w:val="21"/>
              </w:rPr>
              <mc:AlternateContent>
                <mc:Choice Requires="wpg">
                  <w:drawing>
                    <wp:inline distT="0" distB="0" distL="0" distR="0">
                      <wp:extent cx="5760720" cy="2265680"/>
                      <wp:effectExtent l="0" t="0" r="0" b="4445"/>
                      <wp:docPr id="17"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760720" cy="2265680"/>
                                <a:chOff x="0" y="0"/>
                                <a:chExt cx="9559" cy="3201"/>
                              </a:xfrm>
                            </wpg:grpSpPr>
                            <pic:pic xmlns:pic="http://schemas.openxmlformats.org/drawingml/2006/picture">
                              <pic:nvPicPr>
                                <pic:cNvPr id="18" name="Picture 2" descr="P708010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4527" y="0"/>
                                  <a:ext cx="5032" cy="3201"/>
                                </a:xfrm>
                                <a:prstGeom prst="rect">
                                  <a:avLst/>
                                </a:prstGeom>
                                <a:noFill/>
                              </pic:spPr>
                            </pic:pic>
                            <pic:pic xmlns:pic="http://schemas.openxmlformats.org/drawingml/2006/picture">
                              <pic:nvPicPr>
                                <pic:cNvPr id="19" name="Picture 3" descr="29地插安装"/>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4527" cy="3201"/>
                                </a:xfrm>
                                <a:prstGeom prst="rect">
                                  <a:avLst/>
                                </a:prstGeom>
                                <a:noFill/>
                              </pic:spPr>
                            </pic:pic>
                          </wpg:wgp>
                        </a:graphicData>
                      </a:graphic>
                    </wp:inline>
                  </w:drawing>
                </mc:Choice>
                <mc:Fallback>
                  <w:pict>
                    <v:group id="Group 2" o:spid="_x0000_s1026" o:spt="203" style="height:178.4pt;width:453.6pt;" coordsize="9559,3201" o:gfxdata="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">
                      <o:lock v:ext="edit" aspectratio="t"/>
                      <v:shape id="Picture 2" o:spid="_x0000_s1026" o:spt="75" alt="P7080102" type="#_x0000_t75" style="position:absolute;left:4527;top:0;height:3201;width:5032;" filled="f" o:preferrelative="t" stroked="f" coordsize="21600,21600" o:gfxdata="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Y4fxa8AAAA&#10;2wAAAA8AAAAAAAAAAQAgAAAAIgAAAGRycy9kb3ducmV2LnhtbFBLAQIUABQAAAAIAIdO4kAzLwWe&#10;OwAAADkAAAAQAAAAAAAAAAEAIAAAAAsBAABkcnMvc2hhcGV4bWwueG1sUEsFBgAAAAAGAAYAWwEA&#10;ALUDAAAAAA==&#10;">
                        <v:fill on="f" focussize="0,0"/>
                        <v:stroke on="f"/>
                        <v:imagedata r:id="rId73" o:title=""/>
                        <o:lock v:ext="edit" aspectratio="t"/>
                      </v:shape>
                      <v:shape id="Picture 3" o:spid="_x0000_s1026" o:spt="75" alt="29地插安装" type="#_x0000_t75" style="position:absolute;left:0;top:0;height:3201;width:4527;" filled="f" o:preferrelative="t" stroked="f" coordsize="21600,21600" o:gfxdata="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L+dZugAAANsA&#10;AAAPAAAAAAAAAAEAIAAAACIAAABkcnMvZG93bnJldi54bWxQSwECFAAUAAAACACHTuJAMy8FnjsA&#10;AAA5AAAAEAAAAAAAAAABACAAAAAJAQAAZHJzL3NoYXBleG1sLnhtbFBLBQYAAAAABgAGAFsBAACz&#10;AwAAAAA=&#10;">
                        <v:fill on="f" focussize="0,0"/>
                        <v:stroke on="f"/>
                        <v:imagedata r:id="rId74" o:title=""/>
                        <o:lock v:ext="edit" aspectratio="t"/>
                      </v:shape>
                      <w10:wrap type="none"/>
                      <w10:anchorlock/>
                    </v:group>
                  </w:pict>
                </mc:Fallback>
              </mc:AlternateContent>
            </w:r>
          </w:p>
        </w:tc>
      </w:tr>
      <w:tr>
        <w:tblPrEx>
          <w:tblLayout w:type="fixed"/>
          <w:tblCellMar>
            <w:top w:w="0" w:type="dxa"/>
            <w:left w:w="108" w:type="dxa"/>
            <w:bottom w:w="0" w:type="dxa"/>
            <w:right w:w="108" w:type="dxa"/>
          </w:tblCellMar>
        </w:tblPrEx>
        <w:trPr>
          <w:jc w:val="center"/>
        </w:trPr>
        <w:tc>
          <w:tcPr>
            <w:tcW w:w="9180" w:type="dxa"/>
            <w:gridSpan w:val="3"/>
          </w:tcPr>
          <w:p>
            <w:pPr>
              <w:pStyle w:val="93"/>
              <w:spacing w:line="240" w:lineRule="auto"/>
              <w:rPr>
                <w:szCs w:val="21"/>
              </w:rPr>
            </w:pPr>
            <w:r>
              <w:rPr>
                <w:rFonts w:hint="eastAsia"/>
                <w:bCs/>
                <w:szCs w:val="21"/>
              </w:rPr>
              <w:t>阻燃地毯，接头平整、接缝平顺一致</w:t>
            </w:r>
          </w:p>
        </w:tc>
      </w:tr>
      <w:tr>
        <w:tblPrEx>
          <w:tblLayout w:type="fixed"/>
          <w:tblCellMar>
            <w:top w:w="0" w:type="dxa"/>
            <w:left w:w="108" w:type="dxa"/>
            <w:bottom w:w="0" w:type="dxa"/>
            <w:right w:w="108" w:type="dxa"/>
          </w:tblCellMar>
        </w:tblPrEx>
        <w:trPr>
          <w:jc w:val="center"/>
        </w:trPr>
        <w:tc>
          <w:tcPr>
            <w:tcW w:w="9180" w:type="dxa"/>
            <w:gridSpan w:val="3"/>
          </w:tcPr>
          <w:p>
            <w:pPr>
              <w:pStyle w:val="93"/>
              <w:spacing w:line="240" w:lineRule="auto"/>
              <w:rPr>
                <w:szCs w:val="21"/>
              </w:rPr>
            </w:pPr>
            <w:r>
              <w:rPr>
                <w:szCs w:val="21"/>
              </w:rPr>
              <w:drawing>
                <wp:inline distT="0" distB="0" distL="0" distR="0">
                  <wp:extent cx="3829050" cy="2266950"/>
                  <wp:effectExtent l="19050" t="0" r="0" b="0"/>
                  <wp:docPr id="307" name="图片 14" descr="调整大小 DSC08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图片 14" descr="调整大小 DSC08968"/>
                          <pic:cNvPicPr>
                            <a:picLocks noChangeAspect="1" noChangeArrowheads="1"/>
                          </pic:cNvPicPr>
                        </pic:nvPicPr>
                        <pic:blipFill>
                          <a:blip r:embed="rId75"/>
                          <a:srcRect/>
                          <a:stretch>
                            <a:fillRect/>
                          </a:stretch>
                        </pic:blipFill>
                        <pic:spPr>
                          <a:xfrm>
                            <a:off x="0" y="0"/>
                            <a:ext cx="3829050" cy="2266950"/>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9180" w:type="dxa"/>
            <w:gridSpan w:val="3"/>
          </w:tcPr>
          <w:p>
            <w:pPr>
              <w:pStyle w:val="93"/>
              <w:spacing w:line="240" w:lineRule="auto"/>
              <w:rPr>
                <w:szCs w:val="21"/>
              </w:rPr>
            </w:pPr>
            <w:r>
              <w:rPr>
                <w:rFonts w:hint="eastAsia"/>
                <w:szCs w:val="21"/>
              </w:rPr>
              <w:t>地毯与石材接缝收口处理</w:t>
            </w:r>
          </w:p>
        </w:tc>
      </w:tr>
      <w:tr>
        <w:tblPrEx>
          <w:tblLayout w:type="fixed"/>
          <w:tblCellMar>
            <w:top w:w="0" w:type="dxa"/>
            <w:left w:w="108" w:type="dxa"/>
            <w:bottom w:w="0" w:type="dxa"/>
            <w:right w:w="108" w:type="dxa"/>
          </w:tblCellMar>
        </w:tblPrEx>
        <w:trPr>
          <w:jc w:val="center"/>
        </w:trPr>
        <w:tc>
          <w:tcPr>
            <w:tcW w:w="4455" w:type="dxa"/>
            <w:tcBorders>
              <w:right w:val="single" w:color="808080" w:sz="4" w:space="0"/>
            </w:tcBorders>
          </w:tcPr>
          <w:p>
            <w:pPr>
              <w:pStyle w:val="93"/>
              <w:spacing w:line="240" w:lineRule="auto"/>
              <w:rPr>
                <w:szCs w:val="21"/>
              </w:rPr>
            </w:pPr>
            <w:r>
              <w:rPr>
                <w:rFonts w:hAnsi="宋体"/>
              </w:rPr>
              <w:drawing>
                <wp:inline distT="0" distB="0" distL="0" distR="0">
                  <wp:extent cx="2924175" cy="2209800"/>
                  <wp:effectExtent l="19050" t="0" r="9525" b="0"/>
                  <wp:docPr id="308" name="图片 26" descr="DSCN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26" descr="DSCN4352"/>
                          <pic:cNvPicPr>
                            <a:picLocks noChangeAspect="1" noChangeArrowheads="1"/>
                          </pic:cNvPicPr>
                        </pic:nvPicPr>
                        <pic:blipFill>
                          <a:blip r:embed="rId76"/>
                          <a:srcRect/>
                          <a:stretch>
                            <a:fillRect/>
                          </a:stretch>
                        </pic:blipFill>
                        <pic:spPr>
                          <a:xfrm>
                            <a:off x="0" y="0"/>
                            <a:ext cx="2924175" cy="2209800"/>
                          </a:xfrm>
                          <a:prstGeom prst="rect">
                            <a:avLst/>
                          </a:prstGeom>
                          <a:noFill/>
                          <a:ln w="9525">
                            <a:noFill/>
                            <a:miter lim="800000"/>
                            <a:headEnd/>
                            <a:tailEnd/>
                          </a:ln>
                        </pic:spPr>
                      </pic:pic>
                    </a:graphicData>
                  </a:graphic>
                </wp:inline>
              </w:drawing>
            </w:r>
          </w:p>
        </w:tc>
        <w:tc>
          <w:tcPr>
            <w:tcW w:w="4725" w:type="dxa"/>
            <w:gridSpan w:val="2"/>
            <w:tcBorders>
              <w:left w:val="single" w:color="808080" w:sz="4" w:space="0"/>
            </w:tcBorders>
          </w:tcPr>
          <w:p>
            <w:pPr>
              <w:pStyle w:val="93"/>
              <w:spacing w:line="240" w:lineRule="auto"/>
              <w:rPr>
                <w:szCs w:val="21"/>
              </w:rPr>
            </w:pPr>
            <w:r>
              <w:rPr>
                <w:rFonts w:hAnsi="宋体"/>
              </w:rPr>
              <w:drawing>
                <wp:inline distT="0" distB="0" distL="0" distR="0">
                  <wp:extent cx="2981325" cy="2228850"/>
                  <wp:effectExtent l="19050" t="0" r="9525" b="0"/>
                  <wp:docPr id="309" name="图片 23" descr="DSCN4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23" descr="DSCN4342"/>
                          <pic:cNvPicPr>
                            <a:picLocks noChangeAspect="1" noChangeArrowheads="1"/>
                          </pic:cNvPicPr>
                        </pic:nvPicPr>
                        <pic:blipFill>
                          <a:blip r:embed="rId77"/>
                          <a:srcRect/>
                          <a:stretch>
                            <a:fillRect/>
                          </a:stretch>
                        </pic:blipFill>
                        <pic:spPr>
                          <a:xfrm>
                            <a:off x="0" y="0"/>
                            <a:ext cx="2981325" cy="2228850"/>
                          </a:xfrm>
                          <a:prstGeom prst="rect">
                            <a:avLst/>
                          </a:prstGeom>
                          <a:noFill/>
                          <a:ln w="9525">
                            <a:noFill/>
                            <a:miter lim="800000"/>
                            <a:headEnd/>
                            <a:tailEnd/>
                          </a:ln>
                        </pic:spPr>
                      </pic:pic>
                    </a:graphicData>
                  </a:graphic>
                </wp:inline>
              </w:drawing>
            </w:r>
          </w:p>
        </w:tc>
      </w:tr>
      <w:tr>
        <w:tblPrEx>
          <w:tblLayout w:type="fixed"/>
          <w:tblCellMar>
            <w:top w:w="0" w:type="dxa"/>
            <w:left w:w="108" w:type="dxa"/>
            <w:bottom w:w="0" w:type="dxa"/>
            <w:right w:w="108" w:type="dxa"/>
          </w:tblCellMar>
        </w:tblPrEx>
        <w:trPr>
          <w:jc w:val="center"/>
        </w:trPr>
        <w:tc>
          <w:tcPr>
            <w:tcW w:w="4455" w:type="dxa"/>
            <w:tcBorders>
              <w:right w:val="single" w:color="808080" w:sz="4" w:space="0"/>
            </w:tcBorders>
          </w:tcPr>
          <w:p>
            <w:pPr>
              <w:pStyle w:val="93"/>
              <w:spacing w:line="240" w:lineRule="auto"/>
              <w:rPr>
                <w:szCs w:val="21"/>
              </w:rPr>
            </w:pPr>
            <w:r>
              <w:rPr>
                <w:rFonts w:hint="eastAsia"/>
                <w:szCs w:val="21"/>
              </w:rPr>
              <w:t>地毯铺装无起拱、褶皱</w:t>
            </w:r>
          </w:p>
        </w:tc>
        <w:tc>
          <w:tcPr>
            <w:tcW w:w="4725" w:type="dxa"/>
            <w:gridSpan w:val="2"/>
            <w:tcBorders>
              <w:left w:val="single" w:color="808080" w:sz="4" w:space="0"/>
            </w:tcBorders>
          </w:tcPr>
          <w:p>
            <w:pPr>
              <w:pStyle w:val="93"/>
              <w:spacing w:line="240" w:lineRule="auto"/>
              <w:rPr>
                <w:szCs w:val="21"/>
              </w:rPr>
            </w:pPr>
            <w:r>
              <w:rPr>
                <w:rFonts w:hint="eastAsia"/>
                <w:szCs w:val="21"/>
              </w:rPr>
              <w:t>地毯与踢脚线接缝处理</w:t>
            </w:r>
          </w:p>
        </w:tc>
      </w:tr>
    </w:tbl>
    <w:p>
      <w:pPr>
        <w:spacing w:before="120" w:beforeLines="50" w:line="360" w:lineRule="auto"/>
        <w:jc w:val="left"/>
        <w:outlineLvl w:val="2"/>
        <w:rPr>
          <w:b/>
          <w:sz w:val="24"/>
        </w:rPr>
      </w:pPr>
      <w:r>
        <w:rPr>
          <w:rFonts w:hint="eastAsia"/>
          <w:b/>
          <w:sz w:val="24"/>
        </w:rPr>
        <w:t>(4)</w:t>
      </w:r>
      <w:r>
        <w:rPr>
          <w:b/>
          <w:sz w:val="24"/>
        </w:rPr>
        <w:t xml:space="preserve">  </w:t>
      </w:r>
      <w:r>
        <w:rPr>
          <w:rFonts w:hint="eastAsia"/>
          <w:b/>
          <w:sz w:val="24"/>
        </w:rPr>
        <w:t>质量通病防治</w:t>
      </w:r>
    </w:p>
    <w:p>
      <w:pPr>
        <w:jc w:val="center"/>
        <w:rPr>
          <w:rFonts w:ascii="黑体" w:eastAsia="黑体"/>
        </w:rPr>
      </w:pPr>
      <w:r>
        <w:rPr>
          <w:rFonts w:hint="eastAsia" w:ascii="黑体" w:eastAsia="黑体"/>
        </w:rPr>
        <w:t>地毯安装质量通病与防治</w:t>
      </w:r>
    </w:p>
    <w:tbl>
      <w:tblPr>
        <w:tblStyle w:val="43"/>
        <w:tblW w:w="98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98"/>
        <w:gridCol w:w="1111"/>
        <w:gridCol w:w="3519"/>
        <w:gridCol w:w="45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18" w:hRule="atLeast"/>
          <w:tblHeader/>
        </w:trPr>
        <w:tc>
          <w:tcPr>
            <w:tcW w:w="698" w:type="dxa"/>
            <w:vAlign w:val="center"/>
          </w:tcPr>
          <w:p>
            <w:pPr>
              <w:jc w:val="center"/>
              <w:rPr>
                <w:szCs w:val="21"/>
              </w:rPr>
            </w:pPr>
            <w:r>
              <w:rPr>
                <w:rFonts w:hAnsi="宋体"/>
                <w:szCs w:val="21"/>
              </w:rPr>
              <w:t>序号</w:t>
            </w:r>
          </w:p>
        </w:tc>
        <w:tc>
          <w:tcPr>
            <w:tcW w:w="1111" w:type="dxa"/>
            <w:vAlign w:val="center"/>
          </w:tcPr>
          <w:p>
            <w:pPr>
              <w:jc w:val="center"/>
              <w:rPr>
                <w:szCs w:val="21"/>
              </w:rPr>
            </w:pPr>
            <w:r>
              <w:rPr>
                <w:rFonts w:hAnsi="宋体"/>
                <w:szCs w:val="21"/>
              </w:rPr>
              <w:t>质量通病</w:t>
            </w:r>
          </w:p>
        </w:tc>
        <w:tc>
          <w:tcPr>
            <w:tcW w:w="3519" w:type="dxa"/>
            <w:vAlign w:val="center"/>
          </w:tcPr>
          <w:p>
            <w:pPr>
              <w:jc w:val="center"/>
              <w:rPr>
                <w:szCs w:val="21"/>
              </w:rPr>
            </w:pPr>
            <w:r>
              <w:rPr>
                <w:rFonts w:hAnsi="宋体"/>
                <w:szCs w:val="21"/>
              </w:rPr>
              <w:t>通病照片</w:t>
            </w:r>
          </w:p>
        </w:tc>
        <w:tc>
          <w:tcPr>
            <w:tcW w:w="4526" w:type="dxa"/>
            <w:vAlign w:val="center"/>
          </w:tcPr>
          <w:p>
            <w:pPr>
              <w:jc w:val="center"/>
              <w:rPr>
                <w:szCs w:val="21"/>
              </w:rPr>
            </w:pPr>
            <w:r>
              <w:rPr>
                <w:rFonts w:hAnsi="宋体"/>
                <w:szCs w:val="21"/>
              </w:rPr>
              <w:t>原因及防治措施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2162" w:hRule="atLeast"/>
        </w:trPr>
        <w:tc>
          <w:tcPr>
            <w:tcW w:w="698" w:type="dxa"/>
            <w:vAlign w:val="center"/>
          </w:tcPr>
          <w:p>
            <w:pPr>
              <w:jc w:val="center"/>
              <w:rPr>
                <w:szCs w:val="21"/>
              </w:rPr>
            </w:pPr>
            <w:r>
              <w:rPr>
                <w:szCs w:val="21"/>
              </w:rPr>
              <w:t>1</w:t>
            </w:r>
          </w:p>
        </w:tc>
        <w:tc>
          <w:tcPr>
            <w:tcW w:w="1111" w:type="dxa"/>
            <w:vAlign w:val="center"/>
          </w:tcPr>
          <w:p>
            <w:pPr>
              <w:rPr>
                <w:rFonts w:hAnsi="宋体"/>
                <w:kern w:val="0"/>
                <w:szCs w:val="21"/>
              </w:rPr>
            </w:pPr>
            <w:r>
              <w:rPr>
                <w:rFonts w:hAnsi="宋体"/>
                <w:kern w:val="0"/>
                <w:szCs w:val="21"/>
              </w:rPr>
              <w:t>地毯与石材平接处做法通病：</w:t>
            </w:r>
          </w:p>
          <w:p>
            <w:pPr>
              <w:ind w:firstLine="210" w:firstLineChars="100"/>
              <w:rPr>
                <w:rFonts w:hAnsi="宋体"/>
                <w:kern w:val="0"/>
                <w:szCs w:val="21"/>
              </w:rPr>
            </w:pPr>
            <w:r>
              <w:rPr>
                <w:kern w:val="0"/>
                <w:szCs w:val="21"/>
              </w:rPr>
              <w:t>1</w:t>
            </w:r>
            <w:r>
              <w:rPr>
                <w:rFonts w:hAnsi="宋体"/>
                <w:kern w:val="0"/>
                <w:szCs w:val="21"/>
              </w:rPr>
              <w:t>、有落差，往往地毯面较低；</w:t>
            </w:r>
          </w:p>
          <w:p>
            <w:pPr>
              <w:ind w:firstLine="210" w:firstLineChars="100"/>
              <w:rPr>
                <w:kern w:val="0"/>
                <w:szCs w:val="21"/>
              </w:rPr>
            </w:pPr>
            <w:r>
              <w:rPr>
                <w:kern w:val="0"/>
                <w:szCs w:val="21"/>
              </w:rPr>
              <w:t>2</w:t>
            </w:r>
            <w:r>
              <w:rPr>
                <w:rFonts w:hAnsi="宋体"/>
                <w:kern w:val="0"/>
                <w:szCs w:val="21"/>
              </w:rPr>
              <w:t>、地毯与石材加嵌条做法，但在交接处产生一条朝天缝。</w:t>
            </w:r>
          </w:p>
        </w:tc>
        <w:tc>
          <w:tcPr>
            <w:tcW w:w="3519" w:type="dxa"/>
            <w:vAlign w:val="center"/>
          </w:tcPr>
          <w:p>
            <w:pPr>
              <w:rPr>
                <w:szCs w:val="21"/>
              </w:rPr>
            </w:pPr>
            <w:r>
              <w:rPr>
                <w:kern w:val="0"/>
                <w:szCs w:val="21"/>
              </w:rPr>
              <mc:AlternateContent>
                <mc:Choice Requires="wpg">
                  <w:drawing>
                    <wp:anchor distT="0" distB="0" distL="114300" distR="114300" simplePos="0" relativeHeight="251667456" behindDoc="0" locked="0" layoutInCell="1" allowOverlap="1">
                      <wp:simplePos x="0" y="0"/>
                      <wp:positionH relativeFrom="column">
                        <wp:posOffset>1594485</wp:posOffset>
                      </wp:positionH>
                      <wp:positionV relativeFrom="paragraph">
                        <wp:posOffset>189230</wp:posOffset>
                      </wp:positionV>
                      <wp:extent cx="378460" cy="374650"/>
                      <wp:effectExtent l="14605" t="13335" r="16510" b="21590"/>
                      <wp:wrapNone/>
                      <wp:docPr id="13" name="Group 145"/>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14" name="Oval 146"/>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15" name="Line 147"/>
                              <wps:cNvCnPr>
                                <a:cxnSpLocks noChangeShapeType="1"/>
                              </wps:cNvCnPr>
                              <wps:spPr bwMode="auto">
                                <a:xfrm>
                                  <a:off x="349" y="161"/>
                                  <a:ext cx="1451" cy="931"/>
                                </a:xfrm>
                                <a:prstGeom prst="line">
                                  <a:avLst/>
                                </a:prstGeom>
                                <a:noFill/>
                                <a:ln w="25400">
                                  <a:solidFill>
                                    <a:srgbClr val="FF0000"/>
                                  </a:solidFill>
                                  <a:round/>
                                </a:ln>
                              </wps:spPr>
                              <wps:bodyPr/>
                            </wps:wsp>
                            <wps:wsp>
                              <wps:cNvPr id="16" name="Line 148"/>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45" o:spid="_x0000_s1026" o:spt="203" style="position:absolute;left:0pt;margin-left:125.55pt;margin-top:14.9pt;height:29.5pt;width:29.8pt;z-index:251667456;mso-width-relative:page;mso-height-relative:page;" coordsize="2171,1243" o:gfxdata="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">
                      <o:lock v:ext="edit" aspectratio="f"/>
                      <v:shape id="Oval 146" o:spid="_x0000_s1026" o:spt="3" type="#_x0000_t3" style="position:absolute;left:0;top:0;height:1243;width:2171;" filled="f" stroked="t" coordsize="21600,21600" o:gfxdata="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7hTfvQAA&#10;ANs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shape>
                      <v:line id="Line 147" o:spid="_x0000_s1026" o:spt="20" style="position:absolute;left:349;top:161;height:931;width:1451;" filled="f" stroked="t" coordsize="21600,21600" o:gfxdata="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zfPYb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line id="Line 148" o:spid="_x0000_s1026" o:spt="20" style="position:absolute;left:360;top:156;flip:x;height:936;width:1440;" filled="f" stroked="t" coordsize="21600,21600" o:gfxdata="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mFwIbgAAADbAAAA&#10;DwAAAAAAAAABACAAAAAiAAAAZHJzL2Rvd25yZXYueG1sUEsBAhQAFAAAAAgAh07iQDMvBZ47AAAA&#10;OQAAABAAAAAAAAAAAQAgAAAABwEAAGRycy9zaGFwZXhtbC54bWxQSwUGAAAAAAYABgBbAQAAsQMA&#10;AAAA&#10;">
                        <v:fill on="f" focussize="0,0"/>
                        <v:stroke weight="2pt" color="#FF0000" joinstyle="round"/>
                        <v:imagedata o:title=""/>
                        <o:lock v:ext="edit" aspectratio="f"/>
                      </v:line>
                    </v:group>
                  </w:pict>
                </mc:Fallback>
              </mc:AlternateContent>
            </w:r>
            <w:r>
              <w:rPr>
                <w:rFonts w:eastAsia="黑体"/>
              </w:rPr>
              <w:drawing>
                <wp:inline distT="0" distB="0" distL="0" distR="0">
                  <wp:extent cx="2047875" cy="1400175"/>
                  <wp:effectExtent l="19050" t="0" r="9525" b="0"/>
                  <wp:docPr id="310" name="图片 2" descr="调整大小 DSC08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2" descr="调整大小 DSC08637"/>
                          <pic:cNvPicPr>
                            <a:picLocks noChangeAspect="1" noChangeArrowheads="1"/>
                          </pic:cNvPicPr>
                        </pic:nvPicPr>
                        <pic:blipFill>
                          <a:blip r:embed="rId78"/>
                          <a:srcRect/>
                          <a:stretch>
                            <a:fillRect/>
                          </a:stretch>
                        </pic:blipFill>
                        <pic:spPr>
                          <a:xfrm>
                            <a:off x="0" y="0"/>
                            <a:ext cx="2047875" cy="1400175"/>
                          </a:xfrm>
                          <a:prstGeom prst="rect">
                            <a:avLst/>
                          </a:prstGeom>
                          <a:noFill/>
                          <a:ln w="9525">
                            <a:noFill/>
                            <a:miter lim="800000"/>
                            <a:headEnd/>
                            <a:tailEnd/>
                          </a:ln>
                        </pic:spPr>
                      </pic:pic>
                    </a:graphicData>
                  </a:graphic>
                </wp:inline>
              </w:drawing>
            </w:r>
            <w:r>
              <w:rPr>
                <w:kern w:val="0"/>
                <w:szCs w:val="21"/>
              </w:rPr>
              <mc:AlternateContent>
                <mc:Choice Requires="wpg">
                  <w:drawing>
                    <wp:anchor distT="0" distB="0" distL="114300" distR="114300" simplePos="0" relativeHeight="251668480" behindDoc="0" locked="0" layoutInCell="1" allowOverlap="1">
                      <wp:simplePos x="0" y="0"/>
                      <wp:positionH relativeFrom="column">
                        <wp:posOffset>1594485</wp:posOffset>
                      </wp:positionH>
                      <wp:positionV relativeFrom="paragraph">
                        <wp:posOffset>189230</wp:posOffset>
                      </wp:positionV>
                      <wp:extent cx="378460" cy="374650"/>
                      <wp:effectExtent l="14605" t="13335" r="16510" b="21590"/>
                      <wp:wrapNone/>
                      <wp:docPr id="9" name="Group 141"/>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10" name="Oval 142"/>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11" name="Line 143"/>
                              <wps:cNvCnPr>
                                <a:cxnSpLocks noChangeShapeType="1"/>
                              </wps:cNvCnPr>
                              <wps:spPr bwMode="auto">
                                <a:xfrm>
                                  <a:off x="349" y="161"/>
                                  <a:ext cx="1451" cy="931"/>
                                </a:xfrm>
                                <a:prstGeom prst="line">
                                  <a:avLst/>
                                </a:prstGeom>
                                <a:noFill/>
                                <a:ln w="25400">
                                  <a:solidFill>
                                    <a:srgbClr val="FF0000"/>
                                  </a:solidFill>
                                  <a:round/>
                                </a:ln>
                              </wps:spPr>
                              <wps:bodyPr/>
                            </wps:wsp>
                            <wps:wsp>
                              <wps:cNvPr id="12" name="Line 144"/>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41" o:spid="_x0000_s1026" o:spt="203" style="position:absolute;left:0pt;margin-left:125.55pt;margin-top:14.9pt;height:29.5pt;width:29.8pt;z-index:251668480;mso-width-relative:page;mso-height-relative:page;" coordsize="2171,1243" o:gfxdata="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">
                      <o:lock v:ext="edit" aspectratio="f"/>
                      <v:shape id="Oval 142" o:spid="_x0000_s1026" o:spt="3" type="#_x0000_t3" style="position:absolute;left:0;top:0;height:1243;width:2171;" filled="f" stroked="t" coordsize="21600,21600" o:gfxdata="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tUS&#10;3MEAAADbAAAADwAAAAAAAAABACAAAAAiAAAAZHJzL2Rvd25yZXYueG1sUEsBAhQAFAAAAAgAh07i&#10;QDMvBZ47AAAAOQAAABAAAAAAAAAAAQAgAAAAEAEAAGRycy9zaGFwZXhtbC54bWxQSwUGAAAAAAYA&#10;BgBbAQAAugMAAAAA&#10;">
                        <v:fill on="f" focussize="0,0"/>
                        <v:stroke weight="2pt" color="#FF0000" joinstyle="round"/>
                        <v:imagedata o:title=""/>
                        <o:lock v:ext="edit" aspectratio="f"/>
                      </v:shape>
                      <v:line id="Line 143" o:spid="_x0000_s1026" o:spt="20" style="position:absolute;left:349;top:161;height:931;width:1451;" filled="f" stroked="t" coordsize="21600,21600" o:gfxdata="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AzJYrsAAADb&#10;AAAADwAAAAAAAAABACAAAAAiAAAAZHJzL2Rvd25yZXYueG1sUEsBAhQAFAAAAAgAh07iQDMvBZ47&#10;AAAAOQAAABAAAAAAAAAAAQAgAAAACgEAAGRycy9zaGFwZXhtbC54bWxQSwUGAAAAAAYABgBbAQAA&#10;tAMAAAAA&#10;">
                        <v:fill on="f" focussize="0,0"/>
                        <v:stroke weight="2pt" color="#FF0000" joinstyle="round"/>
                        <v:imagedata o:title=""/>
                        <o:lock v:ext="edit" aspectratio="f"/>
                      </v:line>
                      <v:line id="Line 144" o:spid="_x0000_s1026" o:spt="20" style="position:absolute;left:360;top:156;flip:x;height:936;width:1440;" filled="f" stroked="t" coordsize="21600,21600" o:gfxdata="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hWnYiugAAANsA&#10;AAAPAAAAAAAAAAEAIAAAACIAAABkcnMvZG93bnJldi54bWxQSwECFAAUAAAACACHTuJAMy8FnjsA&#10;AAA5AAAAEAAAAAAAAAABACAAAAAJAQAAZHJzL3NoYXBleG1sLnhtbFBLBQYAAAAABgAGAFsBAACz&#10;AwAAAAA=&#10;">
                        <v:fill on="f" focussize="0,0"/>
                        <v:stroke weight="2pt" color="#FF0000" joinstyle="round"/>
                        <v:imagedata o:title=""/>
                        <o:lock v:ext="edit" aspectratio="f"/>
                      </v:line>
                    </v:group>
                  </w:pict>
                </mc:Fallback>
              </mc:AlternateContent>
            </w:r>
            <w:r>
              <w:rPr>
                <w:rFonts w:eastAsia="幼圆"/>
              </w:rPr>
              <w:drawing>
                <wp:inline distT="0" distB="0" distL="0" distR="0">
                  <wp:extent cx="2047875" cy="1419225"/>
                  <wp:effectExtent l="19050" t="0" r="9525" b="0"/>
                  <wp:docPr id="311" name="图片 5" descr="DSCN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5" descr="DSCN8102"/>
                          <pic:cNvPicPr>
                            <a:picLocks noChangeAspect="1" noChangeArrowheads="1"/>
                          </pic:cNvPicPr>
                        </pic:nvPicPr>
                        <pic:blipFill>
                          <a:blip r:embed="rId79"/>
                          <a:srcRect/>
                          <a:stretch>
                            <a:fillRect/>
                          </a:stretch>
                        </pic:blipFill>
                        <pic:spPr>
                          <a:xfrm>
                            <a:off x="0" y="0"/>
                            <a:ext cx="2047875" cy="1419225"/>
                          </a:xfrm>
                          <a:prstGeom prst="rect">
                            <a:avLst/>
                          </a:prstGeom>
                          <a:noFill/>
                          <a:ln w="9525">
                            <a:noFill/>
                            <a:miter lim="800000"/>
                            <a:headEnd/>
                            <a:tailEnd/>
                          </a:ln>
                        </pic:spPr>
                      </pic:pic>
                    </a:graphicData>
                  </a:graphic>
                </wp:inline>
              </w:drawing>
            </w:r>
          </w:p>
        </w:tc>
        <w:tc>
          <w:tcPr>
            <w:tcW w:w="4526" w:type="dxa"/>
            <w:vAlign w:val="center"/>
          </w:tcPr>
          <w:p>
            <w:pPr>
              <w:rPr>
                <w:kern w:val="0"/>
                <w:szCs w:val="21"/>
              </w:rPr>
            </w:pPr>
            <w:r>
              <w:rPr>
                <w:kern w:val="0"/>
                <w:szCs w:val="21"/>
              </w:rPr>
              <w:t>1</w:t>
            </w:r>
            <w:r>
              <w:rPr>
                <w:rFonts w:hAnsi="宋体"/>
                <w:kern w:val="0"/>
                <w:szCs w:val="21"/>
              </w:rPr>
              <w:t>、原因分析</w:t>
            </w:r>
          </w:p>
          <w:p>
            <w:pPr>
              <w:rPr>
                <w:kern w:val="0"/>
                <w:szCs w:val="21"/>
              </w:rPr>
            </w:pPr>
            <w:r>
              <w:rPr>
                <w:kern w:val="0"/>
                <w:szCs w:val="21"/>
              </w:rPr>
              <w:t>1</w:t>
            </w:r>
            <w:r>
              <w:rPr>
                <w:rFonts w:hAnsi="宋体"/>
                <w:kern w:val="0"/>
                <w:szCs w:val="21"/>
              </w:rPr>
              <w:t>）对地毯的厚度不清楚，地面找平时没有控制好石材与地毯的高度关系；</w:t>
            </w:r>
            <w:r>
              <w:rPr>
                <w:kern w:val="0"/>
                <w:szCs w:val="21"/>
              </w:rPr>
              <w:t>2</w:t>
            </w:r>
            <w:r>
              <w:rPr>
                <w:rFonts w:hAnsi="宋体"/>
                <w:kern w:val="0"/>
                <w:szCs w:val="21"/>
              </w:rPr>
              <w:t>）不锈钢条采用</w:t>
            </w:r>
            <w:r>
              <w:rPr>
                <w:kern w:val="0"/>
                <w:szCs w:val="21"/>
              </w:rPr>
              <w:t>L</w:t>
            </w:r>
            <w:r>
              <w:rPr>
                <w:rFonts w:hAnsi="宋体"/>
                <w:kern w:val="0"/>
                <w:szCs w:val="21"/>
              </w:rPr>
              <w:t>字型，直接与石材采取平接，使用过程中因人走路产生松动，朝天缝会更明显。</w:t>
            </w:r>
          </w:p>
          <w:p>
            <w:pPr>
              <w:rPr>
                <w:kern w:val="0"/>
                <w:szCs w:val="21"/>
              </w:rPr>
            </w:pPr>
            <w:r>
              <w:rPr>
                <w:kern w:val="0"/>
                <w:szCs w:val="21"/>
              </w:rPr>
              <w:t>2</w:t>
            </w:r>
            <w:r>
              <w:rPr>
                <w:rFonts w:hAnsi="宋体"/>
                <w:kern w:val="0"/>
                <w:szCs w:val="21"/>
              </w:rPr>
              <w:t>、防治措施</w:t>
            </w:r>
          </w:p>
          <w:p>
            <w:pPr>
              <w:rPr>
                <w:kern w:val="0"/>
                <w:szCs w:val="21"/>
              </w:rPr>
            </w:pPr>
            <w:r>
              <w:rPr>
                <w:kern w:val="0"/>
                <w:szCs w:val="21"/>
              </w:rPr>
              <w:t>1</w:t>
            </w:r>
            <w:r>
              <w:rPr>
                <w:rFonts w:hAnsi="宋体"/>
                <w:kern w:val="0"/>
                <w:szCs w:val="21"/>
              </w:rPr>
              <w:t>）在施工前拿到地毯及垫层的小样，然后根据小样的厚度尺寸浇筑地面，地毯毛高要高于石材完成面</w:t>
            </w:r>
            <w:r>
              <w:rPr>
                <w:kern w:val="0"/>
                <w:szCs w:val="21"/>
              </w:rPr>
              <w:t>3～4㎜</w:t>
            </w:r>
            <w:r>
              <w:rPr>
                <w:rFonts w:hAnsi="宋体"/>
                <w:kern w:val="0"/>
                <w:szCs w:val="21"/>
              </w:rPr>
              <w:t>；</w:t>
            </w:r>
            <w:r>
              <w:rPr>
                <w:kern w:val="0"/>
                <w:szCs w:val="21"/>
              </w:rPr>
              <w:t>2</w:t>
            </w:r>
            <w:r>
              <w:rPr>
                <w:rFonts w:hAnsi="宋体"/>
                <w:kern w:val="0"/>
                <w:szCs w:val="21"/>
              </w:rPr>
              <w:t>）地毯与石材地面平接时做好绒高找坡，拼接处可以用一根不锈钢条收口。不锈钢条采用</w:t>
            </w:r>
            <w:r>
              <w:rPr>
                <w:kern w:val="0"/>
                <w:szCs w:val="21"/>
              </w:rPr>
              <w:t>Z</w:t>
            </w:r>
            <w:r>
              <w:rPr>
                <w:rFonts w:hAnsi="宋体"/>
                <w:kern w:val="0"/>
                <w:szCs w:val="21"/>
              </w:rPr>
              <w:t>字型，底部用膨胀螺丝固定。与石材交接处，</w:t>
            </w:r>
            <w:r>
              <w:rPr>
                <w:kern w:val="0"/>
                <w:szCs w:val="21"/>
              </w:rPr>
              <w:t>Z</w:t>
            </w:r>
            <w:r>
              <w:rPr>
                <w:rFonts w:hAnsi="宋体"/>
                <w:kern w:val="0"/>
                <w:szCs w:val="21"/>
              </w:rPr>
              <w:t>字型头可盖往石材，避免朝天缝的产生；</w:t>
            </w:r>
            <w:r>
              <w:rPr>
                <w:kern w:val="0"/>
                <w:szCs w:val="21"/>
              </w:rPr>
              <w:t>3</w:t>
            </w:r>
            <w:r>
              <w:rPr>
                <w:rFonts w:hAnsi="宋体"/>
                <w:kern w:val="0"/>
                <w:szCs w:val="21"/>
              </w:rPr>
              <w:t>）石材倒边</w:t>
            </w:r>
            <w:r>
              <w:rPr>
                <w:kern w:val="0"/>
                <w:szCs w:val="21"/>
              </w:rPr>
              <w:t>3</w:t>
            </w:r>
            <w:r>
              <w:rPr>
                <w:rFonts w:hAnsi="宋体"/>
                <w:kern w:val="0"/>
                <w:szCs w:val="21"/>
              </w:rPr>
              <w:t>㎜或采用铝合金</w:t>
            </w:r>
            <w:r>
              <w:rPr>
                <w:kern w:val="0"/>
                <w:szCs w:val="21"/>
              </w:rPr>
              <w:t>U</w:t>
            </w:r>
            <w:r>
              <w:rPr>
                <w:rFonts w:hAnsi="宋体"/>
                <w:kern w:val="0"/>
                <w:szCs w:val="21"/>
              </w:rPr>
              <w:t>型毛刺条进行安装，或可考虑用</w:t>
            </w:r>
            <w:r>
              <w:rPr>
                <w:kern w:val="0"/>
                <w:szCs w:val="21"/>
              </w:rPr>
              <w:t>“T”</w:t>
            </w:r>
            <w:r>
              <w:rPr>
                <w:rFonts w:hAnsi="宋体"/>
                <w:kern w:val="0"/>
                <w:szCs w:val="21"/>
              </w:rPr>
              <w:t>形不锈钢收口。</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0" w:hRule="atLeast"/>
        </w:trPr>
        <w:tc>
          <w:tcPr>
            <w:tcW w:w="698" w:type="dxa"/>
            <w:vAlign w:val="center"/>
          </w:tcPr>
          <w:p>
            <w:pPr>
              <w:jc w:val="center"/>
              <w:rPr>
                <w:szCs w:val="21"/>
              </w:rPr>
            </w:pPr>
            <w:r>
              <w:rPr>
                <w:szCs w:val="21"/>
              </w:rPr>
              <w:t>2</w:t>
            </w:r>
          </w:p>
        </w:tc>
        <w:tc>
          <w:tcPr>
            <w:tcW w:w="1111" w:type="dxa"/>
            <w:vAlign w:val="center"/>
          </w:tcPr>
          <w:p>
            <w:pPr>
              <w:rPr>
                <w:kern w:val="0"/>
                <w:szCs w:val="21"/>
              </w:rPr>
            </w:pPr>
            <w:r>
              <w:rPr>
                <w:rFonts w:hAnsi="宋体"/>
                <w:kern w:val="0"/>
                <w:szCs w:val="21"/>
              </w:rPr>
              <w:t>踢脚板安装较高，地毯铺后出现明显空隙。</w:t>
            </w:r>
          </w:p>
        </w:tc>
        <w:tc>
          <w:tcPr>
            <w:tcW w:w="3519" w:type="dxa"/>
            <w:vAlign w:val="center"/>
          </w:tcPr>
          <w:p>
            <w:pPr>
              <w:jc w:val="center"/>
              <w:rPr>
                <w:szCs w:val="21"/>
              </w:rPr>
            </w:pPr>
            <w:r>
              <w:rPr>
                <w:kern w:val="0"/>
                <w:szCs w:val="21"/>
              </w:rPr>
              <mc:AlternateContent>
                <mc:Choice Requires="wpg">
                  <w:drawing>
                    <wp:anchor distT="0" distB="0" distL="114300" distR="114300" simplePos="0" relativeHeight="251669504" behindDoc="0" locked="0" layoutInCell="1" allowOverlap="1">
                      <wp:simplePos x="0" y="0"/>
                      <wp:positionH relativeFrom="column">
                        <wp:posOffset>1525905</wp:posOffset>
                      </wp:positionH>
                      <wp:positionV relativeFrom="paragraph">
                        <wp:posOffset>127635</wp:posOffset>
                      </wp:positionV>
                      <wp:extent cx="378460" cy="374650"/>
                      <wp:effectExtent l="12700" t="18415" r="18415" b="16510"/>
                      <wp:wrapNone/>
                      <wp:docPr id="5" name="Group 137"/>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6" name="Oval 138"/>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7" name="Line 139"/>
                              <wps:cNvCnPr>
                                <a:cxnSpLocks noChangeShapeType="1"/>
                              </wps:cNvCnPr>
                              <wps:spPr bwMode="auto">
                                <a:xfrm>
                                  <a:off x="349" y="161"/>
                                  <a:ext cx="1451" cy="931"/>
                                </a:xfrm>
                                <a:prstGeom prst="line">
                                  <a:avLst/>
                                </a:prstGeom>
                                <a:noFill/>
                                <a:ln w="25400">
                                  <a:solidFill>
                                    <a:srgbClr val="FF0000"/>
                                  </a:solidFill>
                                  <a:round/>
                                </a:ln>
                              </wps:spPr>
                              <wps:bodyPr/>
                            </wps:wsp>
                            <wps:wsp>
                              <wps:cNvPr id="8" name="Line 140"/>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37" o:spid="_x0000_s1026" o:spt="203" style="position:absolute;left:0pt;margin-left:120.15pt;margin-top:10.05pt;height:29.5pt;width:29.8pt;z-index:251669504;mso-width-relative:page;mso-height-relative:page;" coordsize="2171,1243" o:gfxdata="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">
                      <o:lock v:ext="edit" aspectratio="f"/>
                      <v:shape id="Oval 138" o:spid="_x0000_s1026" o:spt="3" type="#_x0000_t3" style="position:absolute;left:0;top:0;height:1243;width:2171;" filled="f" stroked="t" coordsize="21600,21600" o:gfxdata="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0iyD&#10;wAAAANoAAAAPAAAAAAAAAAEAIAAAACIAAABkcnMvZG93bnJldi54bWxQSwECFAAUAAAACACHTuJA&#10;My8FnjsAAAA5AAAAEAAAAAAAAAABACAAAAAPAQAAZHJzL3NoYXBleG1sLnhtbFBLBQYAAAAABgAG&#10;AFsBAAC5AwAAAAA=&#10;">
                        <v:fill on="f" focussize="0,0"/>
                        <v:stroke weight="2pt" color="#FF0000" joinstyle="round"/>
                        <v:imagedata o:title=""/>
                        <o:lock v:ext="edit" aspectratio="f"/>
                      </v:shape>
                      <v:line id="Line 139" o:spid="_x0000_s1026" o:spt="20" style="position:absolute;left:349;top:161;height:931;width:1451;" filled="f" stroked="t" coordsize="21600,21600" o:gfxdata="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e84JvQAA&#10;ANo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40" o:spid="_x0000_s1026" o:spt="20" style="position:absolute;left:360;top:156;flip:x;height:936;width:1440;" filled="f" stroked="t" coordsize="21600,21600" o:gfxdata="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Ap5YK2AAAA2gAAAA8A&#10;AAAAAAAAAQAgAAAAIgAAAGRycy9kb3ducmV2LnhtbFBLAQIUABQAAAAIAIdO4kAzLwWeOwAAADkA&#10;AAAQAAAAAAAAAAEAIAAAAAUBAABkcnMvc2hhcGV4bWwueG1sUEsFBgAAAAAGAAYAWwEAAK8DAAAA&#10;AA==&#10;">
                        <v:fill on="f" focussize="0,0"/>
                        <v:stroke weight="2pt" color="#FF0000" joinstyle="round"/>
                        <v:imagedata o:title=""/>
                        <o:lock v:ext="edit" aspectratio="f"/>
                      </v:line>
                    </v:group>
                  </w:pict>
                </mc:Fallback>
              </mc:AlternateContent>
            </w:r>
            <w:r>
              <w:rPr>
                <w:rFonts w:eastAsia="黑体"/>
              </w:rPr>
              <w:drawing>
                <wp:inline distT="0" distB="0" distL="0" distR="0">
                  <wp:extent cx="2028825" cy="1552575"/>
                  <wp:effectExtent l="19050" t="0" r="9525" b="0"/>
                  <wp:docPr id="312" name="图片 8" descr="DSCN0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8" descr="DSCN0819"/>
                          <pic:cNvPicPr>
                            <a:picLocks noChangeAspect="1" noChangeArrowheads="1"/>
                          </pic:cNvPicPr>
                        </pic:nvPicPr>
                        <pic:blipFill>
                          <a:blip r:embed="rId80"/>
                          <a:srcRect/>
                          <a:stretch>
                            <a:fillRect/>
                          </a:stretch>
                        </pic:blipFill>
                        <pic:spPr>
                          <a:xfrm>
                            <a:off x="0" y="0"/>
                            <a:ext cx="2028825" cy="1552575"/>
                          </a:xfrm>
                          <a:prstGeom prst="rect">
                            <a:avLst/>
                          </a:prstGeom>
                          <a:noFill/>
                          <a:ln w="9525">
                            <a:noFill/>
                            <a:miter lim="800000"/>
                            <a:headEnd/>
                            <a:tailEnd/>
                          </a:ln>
                        </pic:spPr>
                      </pic:pic>
                    </a:graphicData>
                  </a:graphic>
                </wp:inline>
              </w:drawing>
            </w:r>
          </w:p>
        </w:tc>
        <w:tc>
          <w:tcPr>
            <w:tcW w:w="4526" w:type="dxa"/>
            <w:vAlign w:val="center"/>
          </w:tcPr>
          <w:p>
            <w:pPr>
              <w:rPr>
                <w:kern w:val="0"/>
                <w:szCs w:val="21"/>
              </w:rPr>
            </w:pPr>
            <w:r>
              <w:rPr>
                <w:kern w:val="0"/>
                <w:szCs w:val="21"/>
              </w:rPr>
              <w:t>1</w:t>
            </w:r>
            <w:r>
              <w:rPr>
                <w:rFonts w:hAnsi="宋体"/>
                <w:kern w:val="0"/>
                <w:szCs w:val="21"/>
              </w:rPr>
              <w:t>、原因分析</w:t>
            </w:r>
          </w:p>
          <w:p>
            <w:pPr>
              <w:rPr>
                <w:kern w:val="0"/>
                <w:szCs w:val="21"/>
              </w:rPr>
            </w:pPr>
            <w:r>
              <w:rPr>
                <w:kern w:val="0"/>
                <w:szCs w:val="21"/>
              </w:rPr>
              <w:t>1</w:t>
            </w:r>
            <w:r>
              <w:rPr>
                <w:rFonts w:hAnsi="宋体"/>
                <w:kern w:val="0"/>
                <w:szCs w:val="21"/>
              </w:rPr>
              <w:t>）地坪高低不平，铺地毯前地坪没有做必要的找平层；</w:t>
            </w:r>
            <w:r>
              <w:rPr>
                <w:kern w:val="0"/>
                <w:szCs w:val="21"/>
              </w:rPr>
              <w:t xml:space="preserve"> 2</w:t>
            </w:r>
            <w:r>
              <w:rPr>
                <w:rFonts w:hAnsi="宋体"/>
                <w:kern w:val="0"/>
                <w:szCs w:val="21"/>
              </w:rPr>
              <w:t>）安装踢脚板前地毯厚度没有确定好，造成误差。</w:t>
            </w:r>
          </w:p>
          <w:p>
            <w:pPr>
              <w:rPr>
                <w:kern w:val="0"/>
                <w:szCs w:val="21"/>
              </w:rPr>
            </w:pPr>
            <w:r>
              <w:rPr>
                <w:kern w:val="0"/>
                <w:szCs w:val="21"/>
              </w:rPr>
              <w:t>2</w:t>
            </w:r>
            <w:r>
              <w:rPr>
                <w:rFonts w:hAnsi="宋体"/>
                <w:kern w:val="0"/>
                <w:szCs w:val="21"/>
              </w:rPr>
              <w:t>、防治措施</w:t>
            </w:r>
          </w:p>
          <w:p>
            <w:pPr>
              <w:rPr>
                <w:kern w:val="0"/>
                <w:szCs w:val="21"/>
              </w:rPr>
            </w:pPr>
            <w:r>
              <w:rPr>
                <w:kern w:val="0"/>
                <w:szCs w:val="21"/>
              </w:rPr>
              <w:t>1</w:t>
            </w:r>
            <w:r>
              <w:rPr>
                <w:rFonts w:hAnsi="宋体"/>
                <w:kern w:val="0"/>
                <w:szCs w:val="21"/>
              </w:rPr>
              <w:t>）地毯及胶垫的厚度要提前确定，施工前和班组做好交底；</w:t>
            </w:r>
            <w:r>
              <w:rPr>
                <w:kern w:val="0"/>
                <w:szCs w:val="21"/>
              </w:rPr>
              <w:t>2</w:t>
            </w:r>
            <w:r>
              <w:rPr>
                <w:rFonts w:hAnsi="宋体"/>
                <w:kern w:val="0"/>
                <w:szCs w:val="21"/>
              </w:rPr>
              <w:t>）铺地毯前检查地坪，复核地面水平标高，不平整的区域提前做好找平，确保达到找平高度及平整度；</w:t>
            </w:r>
            <w:r>
              <w:rPr>
                <w:kern w:val="0"/>
                <w:szCs w:val="21"/>
              </w:rPr>
              <w:t>3</w:t>
            </w:r>
            <w:r>
              <w:rPr>
                <w:rFonts w:hAnsi="宋体"/>
                <w:kern w:val="0"/>
                <w:szCs w:val="21"/>
              </w:rPr>
              <w:t>）安装踢脚线时以地面为基准（以标高线为辅），预留</w:t>
            </w:r>
            <w:r>
              <w:rPr>
                <w:kern w:val="0"/>
                <w:szCs w:val="21"/>
              </w:rPr>
              <w:t xml:space="preserve"> 8</w:t>
            </w:r>
            <w:r>
              <w:rPr>
                <w:rFonts w:hAnsi="宋体"/>
                <w:kern w:val="0"/>
                <w:szCs w:val="21"/>
              </w:rPr>
              <w:t>㎜～</w:t>
            </w:r>
            <w:r>
              <w:rPr>
                <w:kern w:val="0"/>
                <w:szCs w:val="21"/>
              </w:rPr>
              <w:t>10</w:t>
            </w:r>
            <w:r>
              <w:rPr>
                <w:rFonts w:hAnsi="宋体"/>
                <w:kern w:val="0"/>
                <w:szCs w:val="21"/>
              </w:rPr>
              <w:t>㎜地毯空间。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0" w:hRule="atLeast"/>
        </w:trPr>
        <w:tc>
          <w:tcPr>
            <w:tcW w:w="698" w:type="dxa"/>
            <w:vAlign w:val="center"/>
          </w:tcPr>
          <w:p>
            <w:pPr>
              <w:jc w:val="center"/>
              <w:rPr>
                <w:szCs w:val="21"/>
              </w:rPr>
            </w:pPr>
            <w:r>
              <w:rPr>
                <w:szCs w:val="21"/>
              </w:rPr>
              <w:t>3</w:t>
            </w:r>
          </w:p>
        </w:tc>
        <w:tc>
          <w:tcPr>
            <w:tcW w:w="1111" w:type="dxa"/>
            <w:vAlign w:val="center"/>
          </w:tcPr>
          <w:p>
            <w:pPr>
              <w:rPr>
                <w:kern w:val="0"/>
                <w:szCs w:val="21"/>
              </w:rPr>
            </w:pPr>
            <w:r>
              <w:rPr>
                <w:rFonts w:hAnsi="宋体"/>
                <w:kern w:val="0"/>
                <w:szCs w:val="21"/>
              </w:rPr>
              <w:t>地毯起拱</w:t>
            </w:r>
          </w:p>
        </w:tc>
        <w:tc>
          <w:tcPr>
            <w:tcW w:w="3519" w:type="dxa"/>
            <w:vAlign w:val="center"/>
          </w:tcPr>
          <w:p>
            <w:pPr>
              <w:jc w:val="center"/>
            </w:pPr>
            <w:r>
              <w:rPr>
                <w:kern w:val="0"/>
                <w:szCs w:val="21"/>
              </w:rPr>
              <mc:AlternateContent>
                <mc:Choice Requires="wpg">
                  <w:drawing>
                    <wp:anchor distT="0" distB="0" distL="114300" distR="114300" simplePos="0" relativeHeight="251670528" behindDoc="0" locked="0" layoutInCell="1" allowOverlap="1">
                      <wp:simplePos x="0" y="0"/>
                      <wp:positionH relativeFrom="column">
                        <wp:posOffset>1640205</wp:posOffset>
                      </wp:positionH>
                      <wp:positionV relativeFrom="paragraph">
                        <wp:posOffset>127635</wp:posOffset>
                      </wp:positionV>
                      <wp:extent cx="378460" cy="374650"/>
                      <wp:effectExtent l="12700" t="13970" r="18415" b="20955"/>
                      <wp:wrapNone/>
                      <wp:docPr id="1" name="Group 133"/>
                      <wp:cNvGraphicFramePr/>
                      <a:graphic xmlns:a="http://schemas.openxmlformats.org/drawingml/2006/main">
                        <a:graphicData uri="http://schemas.microsoft.com/office/word/2010/wordprocessingGroup">
                          <wpg:wgp>
                            <wpg:cNvGrpSpPr/>
                            <wpg:grpSpPr>
                              <a:xfrm>
                                <a:off x="0" y="0"/>
                                <a:ext cx="378460" cy="374650"/>
                                <a:chOff x="0" y="0"/>
                                <a:chExt cx="2171" cy="1243"/>
                              </a:xfrm>
                            </wpg:grpSpPr>
                            <wps:wsp>
                              <wps:cNvPr id="2" name="Oval 134"/>
                              <wps:cNvSpPr>
                                <a:spLocks noChangeArrowheads="1"/>
                              </wps:cNvSpPr>
                              <wps:spPr bwMode="auto">
                                <a:xfrm>
                                  <a:off x="0" y="0"/>
                                  <a:ext cx="2171" cy="1243"/>
                                </a:xfrm>
                                <a:prstGeom prst="ellipse">
                                  <a:avLst/>
                                </a:prstGeom>
                                <a:noFill/>
                                <a:ln w="25400">
                                  <a:solidFill>
                                    <a:srgbClr val="FF0000"/>
                                  </a:solidFill>
                                  <a:round/>
                                </a:ln>
                              </wps:spPr>
                              <wps:bodyPr rot="0" vert="horz" wrap="square" lIns="91440" tIns="45720" rIns="91440" bIns="45720" anchor="t" anchorCtr="0" upright="1">
                                <a:noAutofit/>
                              </wps:bodyPr>
                            </wps:wsp>
                            <wps:wsp>
                              <wps:cNvPr id="3" name="Line 135"/>
                              <wps:cNvCnPr>
                                <a:cxnSpLocks noChangeShapeType="1"/>
                              </wps:cNvCnPr>
                              <wps:spPr bwMode="auto">
                                <a:xfrm>
                                  <a:off x="349" y="161"/>
                                  <a:ext cx="1451" cy="931"/>
                                </a:xfrm>
                                <a:prstGeom prst="line">
                                  <a:avLst/>
                                </a:prstGeom>
                                <a:noFill/>
                                <a:ln w="25400">
                                  <a:solidFill>
                                    <a:srgbClr val="FF0000"/>
                                  </a:solidFill>
                                  <a:round/>
                                </a:ln>
                              </wps:spPr>
                              <wps:bodyPr/>
                            </wps:wsp>
                            <wps:wsp>
                              <wps:cNvPr id="4" name="Line 136"/>
                              <wps:cNvCnPr>
                                <a:cxnSpLocks noChangeShapeType="1"/>
                              </wps:cNvCnPr>
                              <wps:spPr bwMode="auto">
                                <a:xfrm flipH="1">
                                  <a:off x="360" y="156"/>
                                  <a:ext cx="1440" cy="936"/>
                                </a:xfrm>
                                <a:prstGeom prst="line">
                                  <a:avLst/>
                                </a:prstGeom>
                                <a:noFill/>
                                <a:ln w="25400">
                                  <a:solidFill>
                                    <a:srgbClr val="FF0000"/>
                                  </a:solidFill>
                                  <a:round/>
                                </a:ln>
                              </wps:spPr>
                              <wps:bodyPr/>
                            </wps:wsp>
                          </wpg:wgp>
                        </a:graphicData>
                      </a:graphic>
                    </wp:anchor>
                  </w:drawing>
                </mc:Choice>
                <mc:Fallback>
                  <w:pict>
                    <v:group id="Group 133" o:spid="_x0000_s1026" o:spt="203" style="position:absolute;left:0pt;margin-left:129.15pt;margin-top:10.05pt;height:29.5pt;width:29.8pt;z-index:251670528;mso-width-relative:page;mso-height-relative:page;" coordsize="2171,1243" o:gfxdata="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AAAAAZHJzL1BLAQIUABQA&#10;AAAIAIdO4kC/z19Y2gAAAAkBAAAPAAAAAAAAAAEAIAAAACIAAABkcnMvZG93bnJldi54bWxQSwEC&#10;FAAUAAAACACHTuJAEI7B49YCAACsCAAADgAAAAAAAAABACAAAAApAQAAZHJzL2Uyb0RvYy54bWxQ&#10;SwUGAAAAAAYABgBZAQAAcQYAAAAA&#10;">
                      <o:lock v:ext="edit" aspectratio="f"/>
                      <v:shape id="Oval 134" o:spid="_x0000_s1026" o:spt="3" type="#_x0000_t3" style="position:absolute;left:0;top:0;height:1243;width:2171;" filled="f" stroked="t" coordsize="21600,21600" o:gfxdata="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pKoC/&#10;AAAA2gAAAA8AAAAAAAAAAQAgAAAAIgAAAGRycy9kb3ducmV2LnhtbFBLAQIUABQAAAAIAIdO4kAz&#10;LwWeOwAAADkAAAAQAAAAAAAAAAEAIAAAAA4BAABkcnMvc2hhcGV4bWwueG1sUEsFBgAAAAAGAAYA&#10;WwEAALgDAAAAAA==&#10;">
                        <v:fill on="f" focussize="0,0"/>
                        <v:stroke weight="2pt" color="#FF0000" joinstyle="round"/>
                        <v:imagedata o:title=""/>
                        <o:lock v:ext="edit" aspectratio="f"/>
                      </v:shape>
                      <v:line id="Line 135" o:spid="_x0000_s1026" o:spt="20" style="position:absolute;left:349;top:161;height:931;width:1451;" filled="f" stroked="t" coordsize="21600,21600" o:gfxdata="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QMgKvQAA&#10;ANoAAAAPAAAAAAAAAAEAIAAAACIAAABkcnMvZG93bnJldi54bWxQSwECFAAUAAAACACHTuJAMy8F&#10;njsAAAA5AAAAEAAAAAAAAAABACAAAAAMAQAAZHJzL3NoYXBleG1sLnhtbFBLBQYAAAAABgAGAFsB&#10;AAC2AwAAAAA=&#10;">
                        <v:fill on="f" focussize="0,0"/>
                        <v:stroke weight="2pt" color="#FF0000" joinstyle="round"/>
                        <v:imagedata o:title=""/>
                        <o:lock v:ext="edit" aspectratio="f"/>
                      </v:line>
                      <v:line id="Line 136" o:spid="_x0000_s1026" o:spt="20" style="position:absolute;left:360;top:156;flip:x;height:936;width:1440;" filled="f" stroked="t" coordsize="21600,21600" o:gfxdata="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Fk74e5AAAA2gAA&#10;AA8AAAAAAAAAAQAgAAAAIgAAAGRycy9kb3ducmV2LnhtbFBLAQIUABQAAAAIAIdO4kAzLwWeOwAA&#10;ADkAAAAQAAAAAAAAAAEAIAAAAAgBAABkcnMvc2hhcGV4bWwueG1sUEsFBgAAAAAGAAYAWwEAALID&#10;AAAAAA==&#10;">
                        <v:fill on="f" focussize="0,0"/>
                        <v:stroke weight="2pt" color="#FF0000" joinstyle="round"/>
                        <v:imagedata o:title=""/>
                        <o:lock v:ext="edit" aspectratio="f"/>
                      </v:line>
                    </v:group>
                  </w:pict>
                </mc:Fallback>
              </mc:AlternateContent>
            </w:r>
            <w:r>
              <w:rPr>
                <w:rFonts w:eastAsia="黑体"/>
              </w:rPr>
              <w:drawing>
                <wp:inline distT="0" distB="0" distL="0" distR="0">
                  <wp:extent cx="2028825" cy="1504950"/>
                  <wp:effectExtent l="19050" t="0" r="9525" b="0"/>
                  <wp:docPr id="313" name="图片 11" descr="DSCN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11" descr="DSCN4359"/>
                          <pic:cNvPicPr>
                            <a:picLocks noChangeAspect="1" noChangeArrowheads="1"/>
                          </pic:cNvPicPr>
                        </pic:nvPicPr>
                        <pic:blipFill>
                          <a:blip r:embed="rId81"/>
                          <a:srcRect/>
                          <a:stretch>
                            <a:fillRect/>
                          </a:stretch>
                        </pic:blipFill>
                        <pic:spPr>
                          <a:xfrm>
                            <a:off x="0" y="0"/>
                            <a:ext cx="2028825" cy="1504950"/>
                          </a:xfrm>
                          <a:prstGeom prst="rect">
                            <a:avLst/>
                          </a:prstGeom>
                          <a:noFill/>
                          <a:ln w="9525">
                            <a:noFill/>
                            <a:miter lim="800000"/>
                            <a:headEnd/>
                            <a:tailEnd/>
                          </a:ln>
                        </pic:spPr>
                      </pic:pic>
                    </a:graphicData>
                  </a:graphic>
                </wp:inline>
              </w:drawing>
            </w:r>
          </w:p>
        </w:tc>
        <w:tc>
          <w:tcPr>
            <w:tcW w:w="4526" w:type="dxa"/>
            <w:vAlign w:val="center"/>
          </w:tcPr>
          <w:p>
            <w:pPr>
              <w:rPr>
                <w:kern w:val="0"/>
                <w:szCs w:val="21"/>
              </w:rPr>
            </w:pPr>
            <w:r>
              <w:rPr>
                <w:kern w:val="0"/>
                <w:szCs w:val="21"/>
              </w:rPr>
              <w:t>1</w:t>
            </w:r>
            <w:r>
              <w:rPr>
                <w:rFonts w:hAnsi="宋体"/>
                <w:kern w:val="0"/>
                <w:szCs w:val="21"/>
              </w:rPr>
              <w:t>、原因分析</w:t>
            </w:r>
          </w:p>
          <w:p>
            <w:pPr>
              <w:rPr>
                <w:kern w:val="0"/>
                <w:szCs w:val="21"/>
              </w:rPr>
            </w:pPr>
            <w:r>
              <w:rPr>
                <w:kern w:val="0"/>
                <w:szCs w:val="21"/>
              </w:rPr>
              <w:t>1</w:t>
            </w:r>
            <w:r>
              <w:rPr>
                <w:rFonts w:hAnsi="宋体"/>
                <w:kern w:val="0"/>
                <w:szCs w:val="21"/>
              </w:rPr>
              <w:t>）地毯在运输及上楼过程中有折、揉情况；</w:t>
            </w:r>
            <w:r>
              <w:rPr>
                <w:kern w:val="0"/>
                <w:szCs w:val="21"/>
              </w:rPr>
              <w:t>2</w:t>
            </w:r>
            <w:r>
              <w:rPr>
                <w:rFonts w:hAnsi="宋体"/>
                <w:kern w:val="0"/>
                <w:szCs w:val="21"/>
              </w:rPr>
              <w:t>）沿墙安装倒毛刺不牢固，地毯没有绷紧；</w:t>
            </w:r>
            <w:r>
              <w:rPr>
                <w:kern w:val="0"/>
                <w:szCs w:val="21"/>
              </w:rPr>
              <w:t>3</w:t>
            </w:r>
            <w:r>
              <w:rPr>
                <w:rFonts w:hAnsi="宋体"/>
                <w:kern w:val="0"/>
                <w:szCs w:val="21"/>
              </w:rPr>
              <w:t>）房间地面潮湿或清洗地毯时受潮，待干后造成起拱；</w:t>
            </w:r>
          </w:p>
          <w:p>
            <w:pPr>
              <w:jc w:val="left"/>
              <w:rPr>
                <w:kern w:val="0"/>
                <w:szCs w:val="21"/>
              </w:rPr>
            </w:pPr>
            <w:r>
              <w:rPr>
                <w:kern w:val="0"/>
                <w:szCs w:val="21"/>
              </w:rPr>
              <w:t>2</w:t>
            </w:r>
            <w:r>
              <w:rPr>
                <w:rFonts w:hAnsi="宋体"/>
                <w:kern w:val="0"/>
                <w:szCs w:val="21"/>
              </w:rPr>
              <w:t>、防治措施</w:t>
            </w:r>
          </w:p>
          <w:p>
            <w:pPr>
              <w:rPr>
                <w:kern w:val="0"/>
                <w:szCs w:val="21"/>
              </w:rPr>
            </w:pPr>
            <w:r>
              <w:rPr>
                <w:kern w:val="0"/>
                <w:szCs w:val="21"/>
              </w:rPr>
              <w:t>1</w:t>
            </w:r>
            <w:r>
              <w:rPr>
                <w:rFonts w:hAnsi="宋体"/>
                <w:kern w:val="0"/>
                <w:szCs w:val="21"/>
              </w:rPr>
              <w:t>）地毯在铺设之前最好先展开平放</w:t>
            </w:r>
            <w:r>
              <w:rPr>
                <w:kern w:val="0"/>
                <w:szCs w:val="21"/>
              </w:rPr>
              <w:t>12</w:t>
            </w:r>
            <w:r>
              <w:rPr>
                <w:rFonts w:hAnsi="宋体"/>
                <w:kern w:val="0"/>
                <w:szCs w:val="21"/>
              </w:rPr>
              <w:t>小时</w:t>
            </w:r>
            <w:r>
              <w:rPr>
                <w:kern w:val="0"/>
                <w:szCs w:val="21"/>
              </w:rPr>
              <w:t>,</w:t>
            </w:r>
            <w:r>
              <w:rPr>
                <w:rFonts w:hAnsi="宋体"/>
                <w:kern w:val="0"/>
                <w:szCs w:val="21"/>
              </w:rPr>
              <w:t>让其有一个自然收缩的时间后再铺；</w:t>
            </w:r>
            <w:r>
              <w:rPr>
                <w:kern w:val="0"/>
                <w:szCs w:val="21"/>
              </w:rPr>
              <w:t>2</w:t>
            </w:r>
            <w:r>
              <w:rPr>
                <w:rFonts w:hAnsi="宋体"/>
                <w:kern w:val="0"/>
                <w:szCs w:val="21"/>
              </w:rPr>
              <w:t>）沿墙边安装倒毛刺，固定点间距不得超过</w:t>
            </w:r>
            <w:r>
              <w:rPr>
                <w:kern w:val="0"/>
                <w:szCs w:val="21"/>
              </w:rPr>
              <w:t>30cm</w:t>
            </w:r>
            <w:r>
              <w:rPr>
                <w:rFonts w:hAnsi="宋体"/>
                <w:kern w:val="0"/>
                <w:szCs w:val="21"/>
              </w:rPr>
              <w:t>，安装牢固后用专用地毯撑，进行两头绷紧拉直定位；</w:t>
            </w:r>
            <w:r>
              <w:rPr>
                <w:kern w:val="0"/>
                <w:szCs w:val="21"/>
              </w:rPr>
              <w:t>3</w:t>
            </w:r>
            <w:r>
              <w:rPr>
                <w:rFonts w:hAnsi="宋体"/>
                <w:kern w:val="0"/>
                <w:szCs w:val="21"/>
              </w:rPr>
              <w:t>）房间地坪湿度大时不得铺设地毯，清洗地毯时不能过分潮湿以防起拱；</w:t>
            </w:r>
            <w:r>
              <w:rPr>
                <w:kern w:val="0"/>
                <w:szCs w:val="21"/>
              </w:rPr>
              <w:t>4</w:t>
            </w:r>
            <w:r>
              <w:rPr>
                <w:rFonts w:hAnsi="宋体"/>
                <w:kern w:val="0"/>
                <w:szCs w:val="21"/>
              </w:rPr>
              <w:t>）对于已经出现皱褶的地毯，建议重新烫平，周边毛刺加固处理。</w:t>
            </w:r>
          </w:p>
        </w:tc>
      </w:tr>
    </w:tbl>
    <w:p>
      <w:pPr>
        <w:spacing w:before="120" w:beforeLines="50" w:line="360" w:lineRule="auto"/>
        <w:jc w:val="left"/>
        <w:outlineLvl w:val="2"/>
        <w:rPr>
          <w:b/>
          <w:sz w:val="24"/>
        </w:rPr>
      </w:pPr>
      <w:r>
        <w:rPr>
          <w:rFonts w:hint="eastAsia"/>
          <w:b/>
          <w:sz w:val="24"/>
        </w:rPr>
        <w:t>(5)</w:t>
      </w:r>
      <w:r>
        <w:rPr>
          <w:b/>
          <w:sz w:val="24"/>
        </w:rPr>
        <w:t xml:space="preserve">  </w:t>
      </w:r>
      <w:r>
        <w:rPr>
          <w:rFonts w:hint="eastAsia"/>
          <w:b/>
          <w:sz w:val="24"/>
        </w:rPr>
        <w:t>验收要求</w:t>
      </w:r>
    </w:p>
    <w:p>
      <w:pPr>
        <w:spacing w:line="360" w:lineRule="auto"/>
        <w:ind w:firstLine="480" w:firstLineChars="200"/>
        <w:rPr>
          <w:sz w:val="24"/>
        </w:rPr>
      </w:pPr>
      <w:r>
        <w:rPr>
          <w:rFonts w:hint="eastAsia"/>
          <w:sz w:val="24"/>
        </w:rPr>
        <w:t>验收要求应符合《建筑地面工程施工质量验收规范》地毯面层的要求</w:t>
      </w:r>
      <w:r>
        <w:rPr>
          <w:rFonts w:hint="eastAsia" w:hAnsi="宋体"/>
          <w:sz w:val="24"/>
        </w:rPr>
        <w:t>，以及本《指引》的相关要求</w:t>
      </w:r>
      <w:r>
        <w:rPr>
          <w:rFonts w:hint="eastAsia"/>
          <w:sz w:val="24"/>
        </w:rPr>
        <w:t>。</w:t>
      </w:r>
    </w:p>
    <w:p>
      <w:pPr>
        <w:spacing w:line="360" w:lineRule="auto"/>
        <w:ind w:firstLine="482" w:firstLineChars="200"/>
        <w:rPr>
          <w:sz w:val="24"/>
        </w:rPr>
      </w:pPr>
      <w:r>
        <w:rPr>
          <w:rFonts w:hint="eastAsia"/>
          <w:b/>
          <w:sz w:val="24"/>
        </w:rPr>
        <w:t>二、抹灰工程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1、一般抹灰技术要求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（1）施工条件准备</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①内墙抹灰应在上层楼面已经完成，不渗不漏时开始施工。</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②抹灰前应检查门、窗框位置是否正确，与墙连接是否牢固。隔墙、暗装的管道、电线管和予埋件是否符合要求。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③基层处理应符合以下规定：</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a砖砌体，应清除表面杂物、尘土、抹灰前应洒水湿润。</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b混凝土，表面应凿毛或在表面洒水湿润后涂刷1：1水泥砂浆。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c门窗框和墙之间的缝隙采用弹性材料嵌填密实，墙面的脚手孔洞、管道的穿墙洞、凿墙安装管道留下的凹槽等要用水泥砂浆堵严。</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d不同材料基体交接处表面的抹灰应采取防止开裂的加强措施。墙体与混凝土交接的地方要求加订钢丝网，搭接宽度不小于l0Omm。</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（2）一般抹灰施工工艺</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①内墙抹灰工艺流程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浇水湿润基层一找规矩、做灰饼一设置标筋一阳角做护角一抹底层灰、中层灰一抹窗台、踢脚板一抹面层灰一清理一验收合格。</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②外墙抹灰工艺流程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浇水湿润基层找规矩、做灰饼、标筋—抹底层灰、中层灰一弹分格线一抹面层灰一起分格条一养护验收合格。</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③顶棚抹灰工艺流程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弹水平线一浇水湿润一刷结合层一抹底层灰、中层灰一抹面层灰一验收合格。</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原材料应有质量合格证，进场材料质量应符合要求。砂浆拌制要符合设计要求或施工规范规定。水泥砂浆拌合料应在初凝前使用完毕。装饰工程所用砂浆，采用集中加工和配制（严禁现场搅拌）。砂浆拌合料应均匀，具有良好和易性，一般稠度要求底层灰10—12cm；中层灰7-9cm；面层灰7-8cm。</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4）加强抹灰施工检查是否符合施工规范要求，主要检查项目有：基底是否处理干净，基底是否湿润，分层抹灰每层厚度是否符号要求，当超过总厚度要求时如何处理，抹灰层总厚度是否符合要求，阳角是否按要求制作护角。</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抹灰应在基体或基层的质量检验合格后，方可施工。木结构与砖石结构、混凝土结构等相接处基体表面的抹灰，应先铺钉金属网，并绷紧牢固。金属网与各基体的搭接宽度不应小于lOOmm。如金属网做抹灰基体时必须钉结牢固，钉平。接头在骨架主筋上，不得有翘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（6）浇水润墙是为了确保灰砂浆与基层表面粘结牢固，防止抹灰空鼓、裂缝、脱落等质量通病，在抹灰前必须对墙体浇水湿润。</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7）阴阳角找方即对墙体四角进行规方，横线找平，竖线吊直；弹出准线和墙裙、踢角板线。阴阳角找方对地面要铺方形地砖的房间特别重要。对于小房间，可以以一面墙作基线，用方尺规方即可，如房间面积较大，要在地面上先弹出十字线及墙面平整度向里抹灰反弹，弹出墙角抹灰准线，并弹出墙裙或踢角板线。</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8）灰饼是用来控制抹灰厚度的。先用托线板检查墙面平整度和垂直度以大致决定抹灰层的厚度(最薄处不小于7nun)，按照厚度再在墙的上角用与抹灰层相同砂浆各做一个大小5cm见方的标准灰饼，然后根据这两个灰饼用垂线垂直做墙面下脚两个标准灰饼(高低位置一般在踢角线上口)。再用钉子在左右灰饼附近的墙缝里，栓上小线挂好通线，并根据通线每隔l.2~1.5m加做几个标准灰饼。待灰饼稍干后，在上下灰饼之间抹上宽约lOcm的砂浆冲筋，冲筋二边应为斜面，用术刮尺刮平，作为抹底子灰填平的标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9）抹灰前，室内墙面、柱面的阳角和门窗洞口的阳角要做护角，因为这些地方最容易受到碰撞而损坏，所以对强度有特别的要求，如设计无规定时，可用l：2水泥砂浆做暗护角，高度不低于2m，每侧宽度不小于50mm其做法是根据灰饼厚度抹灰，然后粘好八字靠尺，并找方吊直，用1：2水泥砂浆分层抹平，待砂浆稍干后，再用水泥浆和做出小圆角。</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10）内墙抹灰应为三层，底层要低于冲筋，待砂浆冲筋稍干后，就应中层灰，如等冲筋干了再上中层，会因墙面砂浆收缩出现冲筋高出墙面的现象，中层垫平冲筋，边上边用木刮尺靠在两边冲筋上，由下往上刮平，然后用木抹子抹平。待中层五、六成干后，进行罩面压光。压光后，为墙面光洁，可以用排笔蘸水沿同一方向刷一遍。</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（11）在抹灰过程中，踢脚线等处的留槎要平整顺直，用靠尺在线上，用铁抹子切齐，修边清理。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（12）门窗框边抹灰层不应产生咬边的现象。</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13）顶棚因为距人的视觉比较远，抹灰的平整度和光洁度一般比墙面的要求要低，一般不要求做灰，其施工方法是先在靠近顶棚的墙上弹出水平线，作为顶棚抹灰找平依据。再从顶棚墙角开始，沿顶棚四周，周边找平。为了避免掉灰，头道灰一般宜抹的薄一些，底子灰抹完后，紧跟着抹找平层，并用刮尽刮顺平，用术抹子搓平。待找平层灰有六、七成干的时候，即应进行罩面；罩面灰稍干后，即用铁皮抹子压实、赶光，表面应顺平，接槎应平整，不应有抹纹和气泡。顶棚与墙面相交的阴角，应顺直清晰。大面积抹灰前应设置标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（14）抹灰应分层进行，每遍厚度宜为5~7mm。抹灰水泥砂浆每遍厚度宜为5~7mm，每层抹灰经赶平压实后的厚度。</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15）灰线抹灰尚应符合下列规定：抹灰线用的抹子，其线形、棱角等应符合设计要求，并按墙面、柱面找平后的水平线确定灰线位置；简单的灰线抹灰，应待墙面、柱面、顶棚的中层砂浆抹灰完后进行，顶棚抹灰前进行；灰线抹灰应分遍成活，底层、中层砂浆中宜掺入少量麻刀。罩面灰应分遍连续涂抹，表面应赶平、修整，压光。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（16）底层的抹灰层强度不得低于面层的抹灰层强度。水泥砂浆不得涂抹在石灰砂浆层上。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（17）抹灰的面层应在踢脚扳、门窗贴脸板和挂镜线等安装前涂抹。安装后与抹灰面相接处如有缝隙，应用砂浆或腻子填补。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18）采用机械喷涂抹灰，尚应符合下列规定：喷涂石灰砂浆前，宜先做水泥砂浆护角、踢脚板、墙裙、窗台板的抹灰，以及混凝土过梁等底层的抹灰；喷涂时，应防止玷污门窗、管道和设备，被玷污的部位应及时清理干净；砂浆稠度：用于混凝土面为90~100mm，用于砖墙面为100~120mm。</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（19）室外抹灰工程的施工，一般应自上而下进行。</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20）混凝土大板和大模板建筑的内墙和楼板底面，宜用腻子分遍刮平，各遍应粘结牢固，总厚度为2~3mm。如用聚合物水泥砂浆、水泥混合砂浆喷毛打底，纸筋石灰罩面，以及用膨胀珍珠岩砂浆抹面，总厚度为2~5mm。</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（21）加气混凝土表面抹灰前，应清理干净，并应作基层表面处理，随即分层抹灰，防止上表面空鼓开裂。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（22）混凝士表面的抹灰，宜使用机械喷涂，用于工涂抹时，宜先凿毛刮水泥浆(水灰比为0.37~O.40)，洒水泥砂浆或用界面处理剂处理。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23）抹灰、涂料工程的等级及适用范围，应符合设计要求。室内装修工程的施工，应待屋面防水工程完工后，并在不致被后继工程所损坏和玷污的条件下进行。室内抹灰在屋面防水工程完工前施工时，必须采取防护措施。</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（24）水泥砂浆和水泥混合砂浆抹灰时，应待前一抹灰层凝结后方可抹后一层。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25）抹灰砂浆的配合比和稠度等应经检查合格后，方可使用。水泥砂浆及掺有水泥拌制的砂浆，应控制在初凝前用完。水泥砂浆拌好后，应在初凝前用完,凡结硬砂浆不得继续使用。砂浆中掺用外加剂时，其掺入量应由试验确定。</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（26）平整光滑的混凝土表面，如设计无要求时，可不抹灰，用刮腻子处理。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抹灰工程验收标准执行规范高级抹灰验收标准。</w:t>
      </w:r>
    </w:p>
    <w:p>
      <w:pPr>
        <w:tabs>
          <w:tab w:val="left" w:pos="900"/>
          <w:tab w:val="left" w:pos="2940"/>
        </w:tabs>
        <w:ind w:left="422"/>
        <w:rPr>
          <w:b/>
          <w:sz w:val="24"/>
        </w:rPr>
      </w:pPr>
      <w:r>
        <w:rPr>
          <w:rFonts w:hint="eastAsia"/>
          <w:b/>
          <w:sz w:val="24"/>
        </w:rPr>
        <w:t>三、墙面工程</w:t>
      </w:r>
    </w:p>
    <w:p>
      <w:pPr>
        <w:spacing w:line="360" w:lineRule="auto"/>
        <w:ind w:firstLine="480" w:firstLineChars="200"/>
        <w:jc w:val="left"/>
        <w:rPr>
          <w:sz w:val="24"/>
        </w:rPr>
      </w:pPr>
      <w:r>
        <w:rPr>
          <w:rFonts w:hint="eastAsia"/>
          <w:sz w:val="24"/>
        </w:rPr>
        <w:t>1、一般抹灰技术要求</w:t>
      </w:r>
    </w:p>
    <w:p>
      <w:pPr>
        <w:spacing w:line="360" w:lineRule="auto"/>
        <w:ind w:firstLine="480" w:firstLineChars="200"/>
        <w:jc w:val="left"/>
        <w:rPr>
          <w:sz w:val="24"/>
        </w:rPr>
      </w:pPr>
      <w:r>
        <w:rPr>
          <w:rFonts w:hint="eastAsia"/>
          <w:sz w:val="24"/>
        </w:rPr>
        <w:t>（1）施工条件准备</w:t>
      </w:r>
    </w:p>
    <w:p>
      <w:pPr>
        <w:spacing w:line="360" w:lineRule="auto"/>
        <w:ind w:left="454"/>
        <w:jc w:val="left"/>
        <w:rPr>
          <w:sz w:val="24"/>
        </w:rPr>
      </w:pPr>
      <w:r>
        <w:rPr>
          <w:rFonts w:hint="eastAsia"/>
          <w:sz w:val="24"/>
        </w:rPr>
        <w:t>① 内墙抹灰应在上层楼面已经完成，不渗不漏时开始施工。</w:t>
      </w:r>
    </w:p>
    <w:p>
      <w:pPr>
        <w:spacing w:line="360" w:lineRule="auto"/>
        <w:ind w:left="454"/>
        <w:jc w:val="left"/>
        <w:rPr>
          <w:sz w:val="24"/>
        </w:rPr>
      </w:pPr>
      <w:r>
        <w:rPr>
          <w:rFonts w:hint="eastAsia"/>
          <w:sz w:val="24"/>
        </w:rPr>
        <w:t>② 抹灰前应检查门、窗框位置是否正确，与墙连接是否牢固。隔墙、暗装的管道、电线管和予埋件是否符合要求。</w:t>
      </w:r>
    </w:p>
    <w:p>
      <w:pPr>
        <w:spacing w:line="360" w:lineRule="auto"/>
        <w:ind w:left="454"/>
        <w:jc w:val="left"/>
        <w:rPr>
          <w:sz w:val="24"/>
        </w:rPr>
      </w:pPr>
      <w:r>
        <w:rPr>
          <w:rFonts w:hint="eastAsia"/>
          <w:sz w:val="24"/>
        </w:rPr>
        <w:t>③ 基层处理应符合以下规定：</w:t>
      </w:r>
    </w:p>
    <w:p>
      <w:pPr>
        <w:spacing w:line="360" w:lineRule="auto"/>
        <w:ind w:firstLine="480" w:firstLineChars="200"/>
        <w:jc w:val="left"/>
        <w:rPr>
          <w:sz w:val="24"/>
        </w:rPr>
      </w:pPr>
      <w:r>
        <w:rPr>
          <w:rFonts w:hint="eastAsia"/>
          <w:sz w:val="24"/>
        </w:rPr>
        <w:t>a.砖砌体，应清除表面杂物、尘土、抹灰前应洒水湿润。</w:t>
      </w:r>
    </w:p>
    <w:p>
      <w:pPr>
        <w:spacing w:line="360" w:lineRule="auto"/>
        <w:ind w:firstLine="480" w:firstLineChars="200"/>
        <w:jc w:val="left"/>
        <w:rPr>
          <w:sz w:val="24"/>
        </w:rPr>
      </w:pPr>
      <w:r>
        <w:rPr>
          <w:rFonts w:hint="eastAsia"/>
          <w:sz w:val="24"/>
        </w:rPr>
        <w:t>b.混凝土，表面应凿毛或在表面洒水湿润后涂刷1:1水泥砂浆。</w:t>
      </w:r>
    </w:p>
    <w:p>
      <w:pPr>
        <w:spacing w:line="360" w:lineRule="auto"/>
        <w:ind w:firstLine="480" w:firstLineChars="200"/>
        <w:jc w:val="left"/>
        <w:rPr>
          <w:sz w:val="24"/>
        </w:rPr>
      </w:pPr>
      <w:r>
        <w:rPr>
          <w:rFonts w:hint="eastAsia"/>
          <w:sz w:val="24"/>
        </w:rPr>
        <w:t>c.门窗框和墙之间的缝隙采用弹性材料嵌填密实，墙面的脚手孔洞、管道的穿墙洞、凿墙安装管道留下的凹槽等要用水泥砂浆堵严。</w:t>
      </w:r>
    </w:p>
    <w:p>
      <w:pPr>
        <w:spacing w:line="360" w:lineRule="auto"/>
        <w:ind w:firstLine="480" w:firstLineChars="200"/>
        <w:jc w:val="left"/>
        <w:rPr>
          <w:sz w:val="24"/>
        </w:rPr>
      </w:pPr>
      <w:r>
        <w:rPr>
          <w:rFonts w:hint="eastAsia"/>
          <w:sz w:val="24"/>
        </w:rPr>
        <w:t>e.不同材料基体交接处表面的抹灰应采取防止开裂的加强措施。墙体与混凝土交接的地方要求铺设钢板网，搭接宽度不小于100</w:t>
      </w:r>
      <w:r>
        <w:rPr>
          <w:sz w:val="24"/>
        </w:rPr>
        <w:t>mm</w:t>
      </w:r>
      <w:r>
        <w:rPr>
          <w:rFonts w:hint="eastAsia"/>
          <w:sz w:val="24"/>
        </w:rPr>
        <w:t>。</w:t>
      </w:r>
    </w:p>
    <w:p>
      <w:pPr>
        <w:spacing w:line="360" w:lineRule="auto"/>
        <w:ind w:firstLine="480" w:firstLineChars="200"/>
        <w:jc w:val="left"/>
        <w:rPr>
          <w:sz w:val="24"/>
        </w:rPr>
      </w:pPr>
      <w:r>
        <w:rPr>
          <w:rFonts w:hint="eastAsia"/>
          <w:sz w:val="24"/>
        </w:rPr>
        <w:t>（2）原材料应有质量合格证，进场材料质量应符合要求。砂浆拌制要符合设计要求或施工规范规定。水泥砂浆拌合料应在初凝前使用完毕。装饰工程所用砂浆、石灰篙等，宜集中加工和配制。砂浆拌合料应均匀，具有良好和易性。</w:t>
      </w:r>
    </w:p>
    <w:p>
      <w:pPr>
        <w:spacing w:line="360" w:lineRule="auto"/>
        <w:ind w:firstLine="480" w:firstLineChars="200"/>
        <w:jc w:val="left"/>
        <w:rPr>
          <w:sz w:val="24"/>
        </w:rPr>
      </w:pPr>
      <w:r>
        <w:rPr>
          <w:rFonts w:hint="eastAsia"/>
          <w:sz w:val="24"/>
        </w:rPr>
        <w:t>（3）加强抹灰施工检查是否符合施工规范要求，主要检查项目有：基底是否处理干净，基底是否湿润，分层抹灰每层厚度是否符号要求，当超过总厚度要求时如何处理，抹灰层总厚度是否符合要求，阳角是否按要求制作护角。</w:t>
      </w:r>
    </w:p>
    <w:p>
      <w:pPr>
        <w:spacing w:line="360" w:lineRule="auto"/>
        <w:ind w:firstLine="480" w:firstLineChars="200"/>
        <w:jc w:val="left"/>
        <w:rPr>
          <w:sz w:val="24"/>
        </w:rPr>
      </w:pPr>
      <w:r>
        <w:rPr>
          <w:rFonts w:hint="eastAsia"/>
          <w:sz w:val="24"/>
        </w:rPr>
        <w:t>（4）抹灰应在基体或基层的质量检验合格后，方可施工。木结构与砖石结构、混凝土结构等相接处基体表面的抹灰，应先铺钉金属网，并绷紧牢固。金属网与各基体的搭接宽度不应小于150</w:t>
      </w:r>
      <w:r>
        <w:rPr>
          <w:sz w:val="24"/>
        </w:rPr>
        <w:t>mm</w:t>
      </w:r>
      <w:r>
        <w:rPr>
          <w:rFonts w:hint="eastAsia"/>
          <w:sz w:val="24"/>
        </w:rPr>
        <w:t>。如金属网做抹灰基体时必须钉结牢固，钉平。接头在骨架主筋上，不得有翘边。</w:t>
      </w:r>
    </w:p>
    <w:p>
      <w:pPr>
        <w:spacing w:line="360" w:lineRule="auto"/>
        <w:ind w:firstLine="480" w:firstLineChars="200"/>
        <w:jc w:val="left"/>
        <w:rPr>
          <w:sz w:val="24"/>
        </w:rPr>
      </w:pPr>
      <w:r>
        <w:rPr>
          <w:rFonts w:hint="eastAsia"/>
          <w:sz w:val="24"/>
        </w:rPr>
        <w:t>（5）浇水润墙是为了确保灰砂浆与基层表面粘结牢固，防止抹灰空鼓、裂缝、脱落等质量通病，在抹灰前必须对墙体浇水湿润。</w:t>
      </w:r>
    </w:p>
    <w:p>
      <w:pPr>
        <w:spacing w:line="360" w:lineRule="auto"/>
        <w:ind w:firstLine="480" w:firstLineChars="200"/>
        <w:jc w:val="left"/>
        <w:rPr>
          <w:sz w:val="24"/>
        </w:rPr>
      </w:pPr>
      <w:r>
        <w:rPr>
          <w:rFonts w:hint="eastAsia"/>
          <w:sz w:val="24"/>
        </w:rPr>
        <w:t>（6）阴阳角找方即对墙体四角进行规方，横线找平，竖线吊直；弹出准线和墙裙、踢角板线。阴阳角找方对地面要铺方形地砖的房间特别重要。</w:t>
      </w:r>
    </w:p>
    <w:p>
      <w:pPr>
        <w:spacing w:line="360" w:lineRule="auto"/>
        <w:ind w:firstLine="480" w:firstLineChars="200"/>
        <w:jc w:val="left"/>
        <w:rPr>
          <w:sz w:val="24"/>
        </w:rPr>
      </w:pPr>
      <w:r>
        <w:rPr>
          <w:rFonts w:hint="eastAsia"/>
          <w:sz w:val="24"/>
        </w:rPr>
        <w:t>（7）抹灰前，室内墙面、柱面的阳角和门窗洞口的阳角要做护角，因为这些地方最容易受到碰撞而损坏，所以对强度有特别的要求。</w:t>
      </w:r>
    </w:p>
    <w:p>
      <w:pPr>
        <w:spacing w:line="360" w:lineRule="auto"/>
        <w:ind w:firstLine="480" w:firstLineChars="200"/>
        <w:jc w:val="left"/>
        <w:rPr>
          <w:sz w:val="24"/>
        </w:rPr>
      </w:pPr>
      <w:r>
        <w:rPr>
          <w:rFonts w:hint="eastAsia"/>
          <w:sz w:val="24"/>
        </w:rPr>
        <w:t>（8）在抹灰过程中，踢脚线等处的留槎要平整顺直，用靠尺在线上，用铁抹子切齐，修边清理。</w:t>
      </w:r>
    </w:p>
    <w:p>
      <w:pPr>
        <w:spacing w:line="360" w:lineRule="auto"/>
        <w:ind w:firstLine="480" w:firstLineChars="200"/>
        <w:jc w:val="left"/>
        <w:rPr>
          <w:sz w:val="24"/>
        </w:rPr>
      </w:pPr>
      <w:r>
        <w:rPr>
          <w:rFonts w:hint="eastAsia"/>
          <w:sz w:val="24"/>
        </w:rPr>
        <w:t>（9）门窗框边抹灰层不应产生咬边的现象。</w:t>
      </w:r>
    </w:p>
    <w:p>
      <w:pPr>
        <w:spacing w:line="360" w:lineRule="auto"/>
        <w:ind w:firstLine="480" w:firstLineChars="200"/>
        <w:jc w:val="left"/>
        <w:rPr>
          <w:sz w:val="24"/>
        </w:rPr>
      </w:pPr>
      <w:r>
        <w:rPr>
          <w:rFonts w:hint="eastAsia"/>
          <w:sz w:val="24"/>
        </w:rPr>
        <w:t>（10）抹灰水泥砂浆每遍厚度宜为5～7</w:t>
      </w:r>
      <w:r>
        <w:rPr>
          <w:sz w:val="24"/>
        </w:rPr>
        <w:t>mm,</w:t>
      </w:r>
      <w:r>
        <w:rPr>
          <w:rFonts w:hint="eastAsia"/>
          <w:sz w:val="24"/>
        </w:rPr>
        <w:t>涂抹石灰砂浆和水泥混合砂浆每遍厚度宜为7～9</w:t>
      </w:r>
      <w:r>
        <w:rPr>
          <w:sz w:val="24"/>
        </w:rPr>
        <w:t>mm</w:t>
      </w:r>
      <w:r>
        <w:rPr>
          <w:rFonts w:hint="eastAsia"/>
          <w:sz w:val="24"/>
        </w:rPr>
        <w:t>。每层抹灰经赶平压实后的厚度，麻刀石灰不得大于3</w:t>
      </w:r>
      <w:r>
        <w:rPr>
          <w:sz w:val="24"/>
        </w:rPr>
        <w:t>mm</w:t>
      </w:r>
      <w:r>
        <w:rPr>
          <w:rFonts w:hint="eastAsia"/>
          <w:sz w:val="24"/>
        </w:rPr>
        <w:t>；纸筋石灰、石膏不得大于2</w:t>
      </w:r>
      <w:r>
        <w:rPr>
          <w:sz w:val="24"/>
        </w:rPr>
        <w:t>mm</w:t>
      </w:r>
      <w:r>
        <w:rPr>
          <w:rFonts w:hint="eastAsia"/>
          <w:sz w:val="24"/>
        </w:rPr>
        <w:t>。</w:t>
      </w:r>
    </w:p>
    <w:p>
      <w:pPr>
        <w:spacing w:line="360" w:lineRule="auto"/>
        <w:ind w:firstLine="480" w:firstLineChars="200"/>
        <w:jc w:val="left"/>
        <w:rPr>
          <w:sz w:val="24"/>
        </w:rPr>
      </w:pPr>
      <w:r>
        <w:rPr>
          <w:rFonts w:hint="eastAsia"/>
          <w:sz w:val="24"/>
        </w:rPr>
        <w:t>（11）水泥砂浆和水泥混合砂浆的抹灰层，应待前一层抹灰层凝结后，方可涂抹后一层，石灰砂浆的抹灰层，应待前一层七八成干后，方可涂抹后一层。</w:t>
      </w:r>
    </w:p>
    <w:p>
      <w:pPr>
        <w:spacing w:line="360" w:lineRule="auto"/>
        <w:ind w:firstLine="480" w:firstLineChars="200"/>
        <w:jc w:val="left"/>
        <w:rPr>
          <w:sz w:val="24"/>
        </w:rPr>
      </w:pPr>
      <w:r>
        <w:rPr>
          <w:rFonts w:hint="eastAsia"/>
          <w:sz w:val="24"/>
        </w:rPr>
        <w:t>（12）板条、金属网顶棚和墙的抹灰，应符号下列规定：板条、金属网装订完成，必须经检查合格后，方可抹灰；底层和中层宜用麻刀石灰砂浆或纸筋石灰砂浆，各层应分遍成活；底层砂浆应压入板条缝或网眼内，形成转脚以使结合牢固；顶棚的高级抹灰，应加钉长350～450</w:t>
      </w:r>
      <w:r>
        <w:rPr>
          <w:sz w:val="24"/>
        </w:rPr>
        <w:t>mm</w:t>
      </w:r>
      <w:r>
        <w:rPr>
          <w:rFonts w:hint="eastAsia"/>
          <w:sz w:val="24"/>
        </w:rPr>
        <w:t>的麻束，间距为400</w:t>
      </w:r>
      <w:r>
        <w:rPr>
          <w:sz w:val="24"/>
        </w:rPr>
        <w:t>mm</w:t>
      </w:r>
      <w:r>
        <w:rPr>
          <w:rFonts w:hint="eastAsia"/>
          <w:sz w:val="24"/>
        </w:rPr>
        <w:t>，并交错布置，分遍按放射状梳理抹进中层砂浆内；金属网抹灰砂浆中掺用水泥时，其掺量应由试验确定。</w:t>
      </w:r>
    </w:p>
    <w:p>
      <w:pPr>
        <w:spacing w:line="360" w:lineRule="auto"/>
        <w:ind w:firstLine="480" w:firstLineChars="200"/>
        <w:jc w:val="left"/>
        <w:rPr>
          <w:sz w:val="24"/>
        </w:rPr>
      </w:pPr>
      <w:r>
        <w:rPr>
          <w:rFonts w:hint="eastAsia"/>
          <w:sz w:val="24"/>
        </w:rPr>
        <w:t>（13）灰线抹灰尚应符合下列规定：抹灰线用的抹子，其线形、棱角等应符合设计要求，并按墙面、柱面找平后的水平线确定灰线位置；简单的灰线抹灰，应待墙面、柱面、顶棚的中层砂浆抹灰完后进行，顶棚抹灰前进行；灰线抹灰应分遍成活，底层、中层砂浆中宜掺入少量麻刀。罩面灰应分遍连续涂抹，表面应赶平、修整，压光。</w:t>
      </w:r>
    </w:p>
    <w:p>
      <w:pPr>
        <w:spacing w:line="360" w:lineRule="auto"/>
        <w:ind w:firstLine="480" w:firstLineChars="200"/>
        <w:jc w:val="left"/>
        <w:rPr>
          <w:sz w:val="24"/>
        </w:rPr>
      </w:pPr>
      <w:r>
        <w:rPr>
          <w:rFonts w:hint="eastAsia"/>
          <w:sz w:val="24"/>
        </w:rPr>
        <w:t>（14）罩面石膏灰应掺入缓凝剂，其掺量应由试验确定，宜控制在15～20</w:t>
      </w:r>
      <w:r>
        <w:rPr>
          <w:sz w:val="24"/>
        </w:rPr>
        <w:t>min</w:t>
      </w:r>
      <w:r>
        <w:rPr>
          <w:rFonts w:hint="eastAsia"/>
          <w:sz w:val="24"/>
        </w:rPr>
        <w:t>内凝结。涂抹应分两遍连续进行，第一遍应涂抹在干燥的中层上。注意罩面石膏灰不得涂抹在水泥砂浆层上。底层的抹灰层强度不得低于面层的抹灰层强度。水泥砂浆不得涂抹在石灰砂浆层上。</w:t>
      </w:r>
    </w:p>
    <w:p>
      <w:pPr>
        <w:spacing w:line="360" w:lineRule="auto"/>
        <w:ind w:firstLine="480" w:firstLineChars="200"/>
        <w:jc w:val="left"/>
        <w:rPr>
          <w:sz w:val="24"/>
        </w:rPr>
      </w:pPr>
      <w:r>
        <w:rPr>
          <w:rFonts w:hint="eastAsia"/>
          <w:sz w:val="24"/>
        </w:rPr>
        <w:t>（15）抹灰的面层应在踢脚板、门窗贴脸板和挂镜线等安装前涂抹。安装后与抹灰面相接处如有缝隙，应用砂浆或腻子填补。</w:t>
      </w:r>
    </w:p>
    <w:p>
      <w:pPr>
        <w:spacing w:line="360" w:lineRule="auto"/>
        <w:ind w:firstLine="480" w:firstLineChars="200"/>
        <w:jc w:val="left"/>
        <w:rPr>
          <w:sz w:val="24"/>
        </w:rPr>
      </w:pPr>
      <w:r>
        <w:rPr>
          <w:rFonts w:hint="eastAsia"/>
          <w:sz w:val="24"/>
        </w:rPr>
        <w:t>（16）加气混凝土表面抹灰前，应清理干净，并应作基层表面处理，随即分层抹灰，防止上表面空鼓开裂。</w:t>
      </w:r>
    </w:p>
    <w:p>
      <w:pPr>
        <w:spacing w:line="360" w:lineRule="auto"/>
        <w:ind w:firstLine="480" w:firstLineChars="200"/>
        <w:jc w:val="left"/>
        <w:rPr>
          <w:sz w:val="24"/>
        </w:rPr>
      </w:pPr>
      <w:r>
        <w:rPr>
          <w:rFonts w:hint="eastAsia"/>
          <w:sz w:val="24"/>
        </w:rPr>
        <w:t>（17）抹灰、涂料和刷浆工程的登级及适用范围，应符合设计要求。室内装修工程的施工，应待屋面防水工程完工后，并在不致被后继工程所损坏和玷污的条件下进行。室内抹灰在屋面防水工程完工前施工时，必须采取防护措施。</w:t>
      </w:r>
    </w:p>
    <w:p>
      <w:pPr>
        <w:spacing w:line="360" w:lineRule="auto"/>
        <w:ind w:firstLine="480" w:firstLineChars="200"/>
        <w:jc w:val="left"/>
        <w:rPr>
          <w:sz w:val="24"/>
        </w:rPr>
      </w:pPr>
      <w:r>
        <w:rPr>
          <w:rFonts w:hint="eastAsia"/>
          <w:sz w:val="24"/>
        </w:rPr>
        <w:t>（18）抹灰砂浆的配合比和稠度等应经检查合格后，方可使用。水泥砂浆及掺有水泥或石膏拌制的砂浆，应控制在初凝前用完。水泥砂浆拌好后，应在初凝前用完，凡结硬砂浆不得继续使用。砂浆中掺用外加剂时，其掺入量应由试验确定。</w:t>
      </w:r>
    </w:p>
    <w:p>
      <w:pPr>
        <w:spacing w:line="360" w:lineRule="auto"/>
        <w:ind w:firstLine="470" w:firstLineChars="196"/>
        <w:jc w:val="left"/>
        <w:rPr>
          <w:sz w:val="24"/>
        </w:rPr>
      </w:pPr>
      <w:r>
        <w:rPr>
          <w:rFonts w:hint="eastAsia"/>
          <w:sz w:val="24"/>
        </w:rPr>
        <w:t>2、瓷砖墙面</w:t>
      </w:r>
    </w:p>
    <w:p>
      <w:pPr>
        <w:spacing w:line="360" w:lineRule="auto"/>
        <w:ind w:firstLine="480" w:firstLineChars="200"/>
        <w:jc w:val="left"/>
        <w:rPr>
          <w:sz w:val="24"/>
        </w:rPr>
      </w:pPr>
      <w:r>
        <w:rPr>
          <w:rFonts w:hint="eastAsia"/>
          <w:sz w:val="24"/>
        </w:rPr>
        <w:t>承包人应在瓷砖墙面饰面施工前，组织花纹、颜色的分类和选配、排版工作，以达到同一面墙上的瓷砖饰面具有统一和谐的外观效果。而同一范围内的同类饰面不得出现明显的色泽、纹理不协调和突兀的情况。材料色泽及纹理组合现场观察样板必须经建筑设计师批准才可施工。</w:t>
      </w:r>
    </w:p>
    <w:p>
      <w:pPr>
        <w:numPr>
          <w:ilvl w:val="0"/>
          <w:numId w:val="17"/>
        </w:numPr>
        <w:tabs>
          <w:tab w:val="left" w:pos="0"/>
          <w:tab w:val="clear" w:pos="1260"/>
        </w:tabs>
        <w:spacing w:line="360" w:lineRule="auto"/>
        <w:ind w:left="0" w:firstLine="480" w:firstLineChars="200"/>
        <w:jc w:val="left"/>
        <w:rPr>
          <w:sz w:val="24"/>
        </w:rPr>
      </w:pPr>
      <w:r>
        <w:rPr>
          <w:rFonts w:hint="eastAsia"/>
          <w:sz w:val="24"/>
        </w:rPr>
        <w:t>材料要求：</w:t>
      </w:r>
    </w:p>
    <w:p>
      <w:pPr>
        <w:numPr>
          <w:ilvl w:val="0"/>
          <w:numId w:val="18"/>
        </w:numPr>
        <w:tabs>
          <w:tab w:val="left" w:pos="0"/>
          <w:tab w:val="clear" w:pos="840"/>
        </w:tabs>
        <w:spacing w:line="360" w:lineRule="auto"/>
        <w:ind w:left="0" w:firstLine="480" w:firstLineChars="200"/>
        <w:jc w:val="left"/>
        <w:rPr>
          <w:sz w:val="24"/>
        </w:rPr>
      </w:pPr>
      <w:r>
        <w:rPr>
          <w:rFonts w:hint="eastAsia"/>
          <w:sz w:val="24"/>
        </w:rPr>
        <w:t>硅酸盐水泥、普通硅酸盐水泥或矿渣硅酸盐水泥，其强度等级不小于32.5MPa。硅酸盐白水泥，强度等级不小于32.5MPa。粗砂或中砂，用时过筛，其含泥量不大于3%。熟化石灰，磨细生石灰粉熟化48</w:t>
      </w:r>
      <w:r>
        <w:rPr>
          <w:sz w:val="24"/>
        </w:rPr>
        <w:t>h</w:t>
      </w:r>
      <w:r>
        <w:rPr>
          <w:rFonts w:hint="eastAsia"/>
          <w:sz w:val="24"/>
        </w:rPr>
        <w:t>后可使用。</w:t>
      </w:r>
    </w:p>
    <w:p>
      <w:pPr>
        <w:numPr>
          <w:ilvl w:val="0"/>
          <w:numId w:val="18"/>
        </w:numPr>
        <w:tabs>
          <w:tab w:val="left" w:pos="0"/>
          <w:tab w:val="clear" w:pos="840"/>
        </w:tabs>
        <w:spacing w:line="360" w:lineRule="auto"/>
        <w:ind w:left="0" w:firstLine="480" w:firstLineChars="200"/>
        <w:jc w:val="left"/>
        <w:rPr>
          <w:sz w:val="24"/>
        </w:rPr>
      </w:pPr>
      <w:r>
        <w:rPr>
          <w:rFonts w:hint="eastAsia"/>
          <w:sz w:val="24"/>
        </w:rPr>
        <w:t>瓷砖面层的表面应洁净、图案清晰，色泽一致，接缝平整，深浅一致，周边顺直。板块无裂纹、掉角和缺楞等缺陷。所用材料应有出厂合格证，强度和品种不同的板块不得混杂使用。</w:t>
      </w:r>
    </w:p>
    <w:p>
      <w:pPr>
        <w:numPr>
          <w:ilvl w:val="0"/>
          <w:numId w:val="17"/>
        </w:numPr>
        <w:tabs>
          <w:tab w:val="left" w:pos="0"/>
          <w:tab w:val="clear" w:pos="1260"/>
        </w:tabs>
        <w:spacing w:line="360" w:lineRule="auto"/>
        <w:ind w:left="0" w:firstLine="480" w:firstLineChars="200"/>
        <w:jc w:val="left"/>
        <w:rPr>
          <w:sz w:val="24"/>
        </w:rPr>
      </w:pPr>
      <w:r>
        <w:rPr>
          <w:rFonts w:hint="eastAsia"/>
          <w:sz w:val="24"/>
        </w:rPr>
        <w:t>施工要求：</w:t>
      </w:r>
    </w:p>
    <w:p>
      <w:pPr>
        <w:spacing w:line="360" w:lineRule="auto"/>
        <w:ind w:firstLine="480" w:firstLineChars="200"/>
        <w:rPr>
          <w:sz w:val="24"/>
        </w:rPr>
      </w:pPr>
      <w:r>
        <w:rPr>
          <w:rFonts w:hint="eastAsia"/>
          <w:sz w:val="24"/>
        </w:rPr>
        <w:t>施工前对进场的墙地砖要进行开箱抽样检查，规格尺寸、色差、外观质量，翘曲度等均应符合质量标准。墙面地面对基层要清扫干净、浇水湿润。基层如有空鼓应局部返工。墙面四角弹垂线和水平线，地中央面弹十字线，根据墙面尺寸进行横竖试排，注意在同一墙面只准有一排非整砖，非整砖宽度不宜小于１/２整砖宽，并将其排在次要部位或不醒目处，釉面砖铺贴前要放入净水中适当浸泡，再取出阴干或擦净后使用。用1:1水泥砂浆（加２０％１０７胶水）或专用胶泥粘贴，擦缝用白水泥素浆或专用磁砖膏。填缝后用半园胶面压入抹漏。最后清净砖面脏物。</w:t>
      </w:r>
    </w:p>
    <w:p>
      <w:pPr>
        <w:numPr>
          <w:ilvl w:val="0"/>
          <w:numId w:val="17"/>
        </w:numPr>
        <w:tabs>
          <w:tab w:val="left" w:pos="0"/>
          <w:tab w:val="clear" w:pos="1260"/>
        </w:tabs>
        <w:spacing w:line="360" w:lineRule="auto"/>
        <w:ind w:left="0" w:firstLine="480" w:firstLineChars="200"/>
        <w:jc w:val="left"/>
        <w:rPr>
          <w:sz w:val="24"/>
        </w:rPr>
      </w:pPr>
      <w:r>
        <w:rPr>
          <w:rFonts w:hint="eastAsia"/>
          <w:sz w:val="24"/>
        </w:rPr>
        <w:t>质量要求：</w:t>
      </w:r>
    </w:p>
    <w:p>
      <w:pPr>
        <w:spacing w:line="360" w:lineRule="auto"/>
        <w:ind w:firstLine="480" w:firstLineChars="200"/>
        <w:rPr>
          <w:sz w:val="24"/>
        </w:rPr>
      </w:pPr>
      <w:r>
        <w:rPr>
          <w:rFonts w:hint="eastAsia"/>
          <w:sz w:val="24"/>
        </w:rPr>
        <w:t>饰面砖的品种、规格、颜色和图案必须符合设计要求，粘贴必须牢固，无歪斜、缺棱掉角和裂缝等缺陷。表面应平整、洁净、色泽协调、无变色、泛碱污痕。饰面砖接缝应填嵌密实、平直、宽窄均匀，阴阳角处砖的搭接方向正确，非整砖使用部位适宜，有坡度的流水坡向正确，滴水线顺直。</w:t>
      </w:r>
    </w:p>
    <w:p>
      <w:pPr>
        <w:numPr>
          <w:ilvl w:val="0"/>
          <w:numId w:val="17"/>
        </w:numPr>
        <w:tabs>
          <w:tab w:val="left" w:pos="0"/>
          <w:tab w:val="clear" w:pos="1260"/>
        </w:tabs>
        <w:spacing w:line="360" w:lineRule="auto"/>
        <w:ind w:left="0" w:firstLine="480" w:firstLineChars="200"/>
        <w:jc w:val="left"/>
        <w:rPr>
          <w:sz w:val="24"/>
        </w:rPr>
      </w:pPr>
      <w:r>
        <w:rPr>
          <w:rFonts w:hint="eastAsia"/>
          <w:sz w:val="24"/>
        </w:rPr>
        <w:t>验收要求：工程质量允许偏差：（用2m靠尺和锲形塞尺检查）</w:t>
      </w:r>
    </w:p>
    <w:p>
      <w:pPr>
        <w:numPr>
          <w:ilvl w:val="1"/>
          <w:numId w:val="17"/>
        </w:numPr>
        <w:tabs>
          <w:tab w:val="left" w:pos="0"/>
          <w:tab w:val="clear" w:pos="1680"/>
        </w:tabs>
        <w:spacing w:line="360" w:lineRule="auto"/>
        <w:ind w:left="0" w:firstLine="480" w:firstLineChars="200"/>
        <w:rPr>
          <w:sz w:val="24"/>
        </w:rPr>
      </w:pPr>
      <w:r>
        <w:rPr>
          <w:rFonts w:hint="eastAsia"/>
          <w:sz w:val="24"/>
        </w:rPr>
        <w:t>表面平整2mm，立面垂直：室内2mm，室外3mm。</w:t>
      </w:r>
    </w:p>
    <w:p>
      <w:pPr>
        <w:numPr>
          <w:ilvl w:val="1"/>
          <w:numId w:val="17"/>
        </w:numPr>
        <w:tabs>
          <w:tab w:val="left" w:pos="0"/>
          <w:tab w:val="clear" w:pos="1680"/>
        </w:tabs>
        <w:spacing w:line="360" w:lineRule="auto"/>
        <w:ind w:left="0" w:firstLine="480" w:firstLineChars="200"/>
        <w:rPr>
          <w:sz w:val="24"/>
        </w:rPr>
      </w:pPr>
      <w:r>
        <w:rPr>
          <w:rFonts w:hint="eastAsia"/>
          <w:sz w:val="24"/>
        </w:rPr>
        <w:t>阴阳角方正、接缝平直、墙裙上口平直：均是2mm。</w:t>
      </w:r>
    </w:p>
    <w:p>
      <w:pPr>
        <w:numPr>
          <w:ilvl w:val="1"/>
          <w:numId w:val="17"/>
        </w:numPr>
        <w:tabs>
          <w:tab w:val="left" w:pos="0"/>
          <w:tab w:val="clear" w:pos="1680"/>
        </w:tabs>
        <w:spacing w:line="360" w:lineRule="auto"/>
        <w:ind w:left="0" w:firstLine="480" w:firstLineChars="200"/>
        <w:rPr>
          <w:sz w:val="24"/>
        </w:rPr>
      </w:pPr>
      <w:r>
        <w:rPr>
          <w:rFonts w:hint="eastAsia"/>
          <w:sz w:val="24"/>
        </w:rPr>
        <w:t>接缝高低0.5mm。</w:t>
      </w:r>
    </w:p>
    <w:p>
      <w:pPr>
        <w:numPr>
          <w:ilvl w:val="0"/>
          <w:numId w:val="17"/>
        </w:numPr>
        <w:tabs>
          <w:tab w:val="left" w:pos="0"/>
          <w:tab w:val="clear" w:pos="1260"/>
        </w:tabs>
        <w:spacing w:line="360" w:lineRule="auto"/>
        <w:ind w:left="0" w:firstLine="480" w:firstLineChars="200"/>
        <w:jc w:val="left"/>
        <w:rPr>
          <w:sz w:val="24"/>
        </w:rPr>
      </w:pPr>
      <w:r>
        <w:rPr>
          <w:rFonts w:hint="eastAsia"/>
          <w:sz w:val="24"/>
        </w:rPr>
        <w:t>成品保护：</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施工验收完毕的墙面地面应进行保护，要避免重物搬运和物件硬物的撞击。严禁在已完工的墙地面上凿洞，以破坏面砖与基层的粘接。当必须进行电焊施工时，必须用板材保护，以免焊渣将面砖表面烧伤。墙的阳角和门口处，应用木板保护，以免碰坏磁砖。</w:t>
      </w:r>
    </w:p>
    <w:p>
      <w:pPr>
        <w:spacing w:line="360" w:lineRule="auto"/>
        <w:ind w:firstLine="470" w:firstLineChars="196"/>
        <w:jc w:val="left"/>
        <w:rPr>
          <w:sz w:val="24"/>
        </w:rPr>
      </w:pPr>
      <w:r>
        <w:rPr>
          <w:rFonts w:hint="eastAsia"/>
          <w:sz w:val="24"/>
        </w:rPr>
        <w:t>3、吸音板墙面</w:t>
      </w:r>
    </w:p>
    <w:p>
      <w:pPr>
        <w:spacing w:line="360" w:lineRule="auto"/>
        <w:ind w:firstLine="470" w:firstLineChars="196"/>
        <w:jc w:val="left"/>
        <w:rPr>
          <w:sz w:val="24"/>
        </w:rPr>
      </w:pPr>
      <w:r>
        <w:rPr>
          <w:rFonts w:hint="eastAsia"/>
          <w:sz w:val="24"/>
        </w:rPr>
        <w:t>（1）</w:t>
      </w:r>
      <w:r>
        <w:rPr>
          <w:sz w:val="24"/>
        </w:rPr>
        <w:t xml:space="preserve"> </w:t>
      </w:r>
      <w:r>
        <w:rPr>
          <w:rFonts w:hint="eastAsia"/>
          <w:sz w:val="24"/>
        </w:rPr>
        <w:t>材料要求</w:t>
      </w:r>
    </w:p>
    <w:p>
      <w:pPr>
        <w:spacing w:line="360" w:lineRule="auto"/>
        <w:ind w:firstLine="470" w:firstLineChars="196"/>
        <w:jc w:val="left"/>
        <w:rPr>
          <w:sz w:val="24"/>
        </w:rPr>
      </w:pPr>
      <w:r>
        <w:rPr>
          <w:rFonts w:hint="eastAsia"/>
          <w:sz w:val="24"/>
        </w:rPr>
        <w:t xml:space="preserve">1) </w:t>
      </w:r>
      <w:r>
        <w:rPr>
          <w:sz w:val="24"/>
        </w:rPr>
        <w:t>所用材料的品种、规格和质量应符合设计要求和国家规范、标准的规定。材料与产品的选择应符合产业的发展方向，严禁使用国家明令淘汰的材料。</w:t>
      </w:r>
    </w:p>
    <w:p>
      <w:pPr>
        <w:spacing w:line="360" w:lineRule="auto"/>
        <w:ind w:firstLine="470" w:firstLineChars="196"/>
        <w:jc w:val="left"/>
        <w:rPr>
          <w:sz w:val="24"/>
        </w:rPr>
      </w:pPr>
      <w:r>
        <w:rPr>
          <w:rFonts w:hint="eastAsia"/>
          <w:sz w:val="24"/>
        </w:rPr>
        <w:t xml:space="preserve">2) </w:t>
      </w:r>
      <w:r>
        <w:rPr>
          <w:sz w:val="24"/>
        </w:rPr>
        <w:t>所用材料的有害物质限量应符合强制性国家标准，严格查验进场材料的有害物质含量检测报告，并严格按照国家有关规定进行材料复验。</w:t>
      </w:r>
    </w:p>
    <w:p>
      <w:pPr>
        <w:spacing w:line="360" w:lineRule="auto"/>
        <w:ind w:firstLine="470" w:firstLineChars="196"/>
        <w:jc w:val="left"/>
        <w:rPr>
          <w:sz w:val="24"/>
        </w:rPr>
      </w:pPr>
      <w:r>
        <w:rPr>
          <w:rFonts w:hint="eastAsia"/>
          <w:sz w:val="24"/>
        </w:rPr>
        <w:t xml:space="preserve">3) </w:t>
      </w:r>
      <w:r>
        <w:rPr>
          <w:sz w:val="24"/>
        </w:rPr>
        <w:t>所用材料在运输、储存和施工过程中，必须采取有效措施防止损坏、变质和污染环境。</w:t>
      </w:r>
    </w:p>
    <w:p>
      <w:pPr>
        <w:spacing w:line="360" w:lineRule="auto"/>
        <w:ind w:firstLine="470" w:firstLineChars="196"/>
        <w:jc w:val="left"/>
        <w:rPr>
          <w:sz w:val="24"/>
        </w:rPr>
      </w:pPr>
      <w:r>
        <w:rPr>
          <w:rFonts w:hint="eastAsia"/>
          <w:sz w:val="24"/>
        </w:rPr>
        <w:t xml:space="preserve">4) </w:t>
      </w:r>
      <w:r>
        <w:rPr>
          <w:sz w:val="24"/>
        </w:rPr>
        <w:t>吸音板和松散填塞物必须国家检测合格，其规格、型号符合设计要求；吸音板不应有弯曲、受潮、断裂、损伤等问题，并保证表面的平整，无撞伤凹陷现象；建筑胶、自攻丝等，材料应有产品合格证，材料规格，质量必须经现场检验，符合设计使用要求。</w:t>
      </w:r>
    </w:p>
    <w:p>
      <w:pPr>
        <w:spacing w:line="360" w:lineRule="auto"/>
        <w:ind w:firstLine="470" w:firstLineChars="196"/>
        <w:jc w:val="left"/>
        <w:rPr>
          <w:sz w:val="24"/>
        </w:rPr>
      </w:pPr>
      <w:r>
        <w:rPr>
          <w:rFonts w:hint="eastAsia"/>
          <w:sz w:val="24"/>
        </w:rPr>
        <w:t xml:space="preserve">5) </w:t>
      </w:r>
      <w:r>
        <w:rPr>
          <w:sz w:val="24"/>
        </w:rPr>
        <w:t>龙骨架使用的紧固材料满足构造功能，骨架应保证刚度，不得弯曲、变形、墙面网安装牢固，不得有翘曲变形、缺边掉角、无脱落、折裂、厚度应一致。</w:t>
      </w:r>
    </w:p>
    <w:p>
      <w:pPr>
        <w:spacing w:line="360" w:lineRule="auto"/>
        <w:ind w:firstLine="470" w:firstLineChars="196"/>
        <w:jc w:val="left"/>
        <w:rPr>
          <w:sz w:val="24"/>
        </w:rPr>
      </w:pPr>
      <w:r>
        <w:rPr>
          <w:rFonts w:hint="eastAsia"/>
          <w:sz w:val="24"/>
        </w:rPr>
        <w:t>（2） 施工要求</w:t>
      </w:r>
    </w:p>
    <w:p>
      <w:pPr>
        <w:spacing w:line="360" w:lineRule="auto"/>
        <w:ind w:firstLine="470" w:firstLineChars="196"/>
        <w:jc w:val="left"/>
        <w:rPr>
          <w:sz w:val="24"/>
        </w:rPr>
      </w:pPr>
      <w:r>
        <w:rPr>
          <w:rFonts w:hint="eastAsia"/>
          <w:sz w:val="24"/>
        </w:rPr>
        <w:t>1) 施工流程</w:t>
      </w:r>
    </w:p>
    <w:p>
      <w:pPr>
        <w:spacing w:line="360" w:lineRule="auto"/>
        <w:ind w:firstLine="470" w:firstLineChars="196"/>
        <w:jc w:val="left"/>
        <w:rPr>
          <w:sz w:val="24"/>
        </w:rPr>
      </w:pPr>
      <w:r>
        <w:rPr>
          <w:rFonts w:hint="eastAsia"/>
          <w:sz w:val="24"/>
        </w:rPr>
        <w:t>基层找平、修补→弹线、分挡→固定边框龙骨→安装竖向龙骨→安装支撑龙骨→检查龙骨安装→电气铺管安附墙设备→软质松散材料的填塞→安装罩面板→接缝及护角处理→质量检验</w:t>
      </w:r>
    </w:p>
    <w:p>
      <w:pPr>
        <w:spacing w:line="360" w:lineRule="auto"/>
        <w:ind w:firstLine="470" w:firstLineChars="196"/>
        <w:jc w:val="left"/>
        <w:rPr>
          <w:sz w:val="24"/>
        </w:rPr>
      </w:pPr>
      <w:r>
        <w:rPr>
          <w:rFonts w:hint="eastAsia"/>
          <w:sz w:val="24"/>
        </w:rPr>
        <w:t>2)</w:t>
      </w:r>
      <w:r>
        <w:rPr>
          <w:sz w:val="24"/>
        </w:rPr>
        <w:t xml:space="preserve"> </w:t>
      </w:r>
      <w:r>
        <w:rPr>
          <w:rFonts w:hint="eastAsia"/>
          <w:sz w:val="24"/>
        </w:rPr>
        <w:t>施工要点</w:t>
      </w:r>
    </w:p>
    <w:p>
      <w:pPr>
        <w:spacing w:line="360" w:lineRule="auto"/>
        <w:ind w:firstLine="470" w:firstLineChars="196"/>
        <w:jc w:val="left"/>
        <w:rPr>
          <w:sz w:val="24"/>
        </w:rPr>
      </w:pPr>
      <w:r>
        <w:rPr>
          <w:rFonts w:hint="eastAsia"/>
          <w:sz w:val="24"/>
        </w:rPr>
        <w:t>a）基层找平、修补：施工前要检查墙面的平整度，对偏差较大要修补处理。</w:t>
      </w:r>
    </w:p>
    <w:p>
      <w:pPr>
        <w:spacing w:line="360" w:lineRule="auto"/>
        <w:ind w:firstLine="470" w:firstLineChars="196"/>
        <w:jc w:val="left"/>
        <w:rPr>
          <w:sz w:val="24"/>
        </w:rPr>
      </w:pPr>
      <w:r>
        <w:rPr>
          <w:rFonts w:hint="eastAsia"/>
          <w:sz w:val="24"/>
        </w:rPr>
        <w:t>b）弹线、分档：在墙与上、下及两边墙体的相接处，按龙骨的宽度弹线，龙骨一般选用</w:t>
      </w:r>
      <w:r>
        <w:rPr>
          <w:sz w:val="24"/>
        </w:rPr>
        <w:t>30㎜×50㎜。结合罩面板的长、宽按设计要求分档，其间距按罩面板板宽及压条缝宽（板宽一般为600㎜，其间距按罩面板加压条留缝宽度，一般为603㎜～610㎜）确定竖向龙骨；横撑及附加龙骨的位置。为了美观，分档时应优先考虑明显边角和门窗边框位置，尽量使这些位置使用整块面板，门窗的上下尽量采用对称分布。罩面板接缝如不在沿顶、沿地、墙边</w:t>
      </w:r>
      <w:r>
        <w:rPr>
          <w:rFonts w:hint="eastAsia"/>
          <w:sz w:val="24"/>
        </w:rPr>
        <w:t>龙骨上，应加横撑或竖龙骨固定板缝。门窗或特殊节点处，应使用附加龙骨，安装应符合牢固的要求。</w:t>
      </w:r>
    </w:p>
    <w:p>
      <w:pPr>
        <w:spacing w:line="360" w:lineRule="auto"/>
        <w:ind w:firstLine="470" w:firstLineChars="196"/>
        <w:jc w:val="left"/>
        <w:rPr>
          <w:sz w:val="24"/>
        </w:rPr>
      </w:pPr>
      <w:r>
        <w:rPr>
          <w:rFonts w:hint="eastAsia"/>
          <w:sz w:val="24"/>
        </w:rPr>
        <w:t>c</w:t>
      </w:r>
      <w:r>
        <w:rPr>
          <w:sz w:val="24"/>
        </w:rPr>
        <w:t>）</w:t>
      </w:r>
      <w:r>
        <w:rPr>
          <w:rFonts w:hint="eastAsia"/>
          <w:sz w:val="24"/>
        </w:rPr>
        <w:t xml:space="preserve"> </w:t>
      </w:r>
      <w:r>
        <w:rPr>
          <w:sz w:val="24"/>
        </w:rPr>
        <w:t>固定边框龙骨：沿弹线位置固定边框龙骨，龙骨的边线应与弹线重合。龙骨的端部应固定，固定点间距应不大于lm，固定应牢固。</w:t>
      </w:r>
    </w:p>
    <w:p>
      <w:pPr>
        <w:spacing w:line="360" w:lineRule="auto"/>
        <w:ind w:firstLine="470" w:firstLineChars="196"/>
        <w:jc w:val="left"/>
        <w:rPr>
          <w:sz w:val="24"/>
        </w:rPr>
      </w:pPr>
      <w:r>
        <w:rPr>
          <w:rFonts w:hint="eastAsia"/>
          <w:sz w:val="24"/>
        </w:rPr>
        <w:t>d</w:t>
      </w:r>
      <w:r>
        <w:rPr>
          <w:sz w:val="24"/>
        </w:rPr>
        <w:t>）安装竖向龙骨：竖向龙骨应垂直，固定方法为：用电钻在墙上所需位置打φ10～φ12；70㎜深电钻眼，然后在电钻眼内打入木橛，最后用圆钉将木龙骨钉于墙上，并保证龙骨牢固。</w:t>
      </w:r>
    </w:p>
    <w:p>
      <w:pPr>
        <w:spacing w:line="360" w:lineRule="auto"/>
        <w:ind w:firstLine="470" w:firstLineChars="196"/>
        <w:jc w:val="left"/>
        <w:rPr>
          <w:sz w:val="24"/>
        </w:rPr>
      </w:pPr>
      <w:r>
        <w:rPr>
          <w:rFonts w:hint="eastAsia"/>
          <w:sz w:val="24"/>
        </w:rPr>
        <w:t>e</w:t>
      </w:r>
      <w:r>
        <w:rPr>
          <w:sz w:val="24"/>
        </w:rPr>
        <w:t>）安装支撑龙骨：支撑龙骨与竖向龙骨应垂直，其间距也为 603㎜～610㎜。对于特殊结构的墙龙骨安装（如斜面、折曲面等），应符合设计要求及几何特性。</w:t>
      </w:r>
    </w:p>
    <w:p>
      <w:pPr>
        <w:spacing w:line="360" w:lineRule="auto"/>
        <w:ind w:firstLine="470" w:firstLineChars="196"/>
        <w:jc w:val="left"/>
        <w:rPr>
          <w:sz w:val="24"/>
        </w:rPr>
      </w:pPr>
      <w:r>
        <w:rPr>
          <w:rFonts w:hint="eastAsia"/>
          <w:sz w:val="24"/>
        </w:rPr>
        <w:t>f</w:t>
      </w:r>
      <w:r>
        <w:rPr>
          <w:sz w:val="24"/>
        </w:rPr>
        <w:t>）电气铺管、安装附墙设备：按图纸要求预埋管道和附墙设备。要求与龙骨的安装同步进行，或在吸音板封板前进行，并采取局部加强措施，固定牢固。电气设备专业在墙中铺设管线时，应避免切断横、竖向龙骨，同时避免在沿墙下端设置管线。</w:t>
      </w:r>
    </w:p>
    <w:p>
      <w:pPr>
        <w:spacing w:line="360" w:lineRule="auto"/>
        <w:ind w:firstLine="470" w:firstLineChars="196"/>
        <w:jc w:val="left"/>
        <w:rPr>
          <w:sz w:val="24"/>
        </w:rPr>
      </w:pPr>
      <w:r>
        <w:rPr>
          <w:rFonts w:hint="eastAsia"/>
          <w:sz w:val="24"/>
        </w:rPr>
        <w:t>g</w:t>
      </w:r>
      <w:r>
        <w:rPr>
          <w:sz w:val="24"/>
        </w:rPr>
        <w:t>）龙骨检查校正补强：安装罩面板前，应检查龙骨骨架的牢固程度和平整等质量情况， 龙骨的立面垂直偏差应≤3㎜，表面不平整应≤2㎜。并检查门窗框、各种附墙设备、管道的安装和固定是否符合设计要求。如有不牢固处，应进行加固。</w:t>
      </w:r>
    </w:p>
    <w:p>
      <w:pPr>
        <w:spacing w:line="360" w:lineRule="auto"/>
        <w:ind w:firstLine="470" w:firstLineChars="196"/>
        <w:jc w:val="left"/>
        <w:rPr>
          <w:sz w:val="24"/>
        </w:rPr>
      </w:pPr>
      <w:r>
        <w:rPr>
          <w:rFonts w:hint="eastAsia"/>
          <w:sz w:val="24"/>
        </w:rPr>
        <w:t>h</w:t>
      </w:r>
      <w:r>
        <w:rPr>
          <w:sz w:val="24"/>
        </w:rPr>
        <w:t>）安装罩面板：</w:t>
      </w:r>
    </w:p>
    <w:p>
      <w:pPr>
        <w:spacing w:line="360" w:lineRule="auto"/>
        <w:ind w:firstLine="470" w:firstLineChars="196"/>
        <w:jc w:val="left"/>
        <w:rPr>
          <w:sz w:val="24"/>
        </w:rPr>
      </w:pPr>
      <w:r>
        <w:rPr>
          <w:rFonts w:hint="eastAsia"/>
          <w:sz w:val="24"/>
        </w:rPr>
        <w:t xml:space="preserve">① </w:t>
      </w:r>
      <w:r>
        <w:rPr>
          <w:sz w:val="24"/>
        </w:rPr>
        <w:t>面板铺设时，先确定位置，以气钉枪固定，气钉应从板的中部向板的四边固定，接缝应落在竖、横龙骨上。</w:t>
      </w:r>
    </w:p>
    <w:p>
      <w:pPr>
        <w:spacing w:line="360" w:lineRule="auto"/>
        <w:ind w:firstLine="470" w:firstLineChars="196"/>
        <w:jc w:val="left"/>
        <w:rPr>
          <w:sz w:val="24"/>
        </w:rPr>
      </w:pPr>
      <w:r>
        <w:rPr>
          <w:rFonts w:hint="eastAsia"/>
          <w:sz w:val="24"/>
        </w:rPr>
        <w:t xml:space="preserve">② </w:t>
      </w:r>
      <w:r>
        <w:rPr>
          <w:sz w:val="24"/>
        </w:rPr>
        <w:t>面板用压条压住并用自攻螺钉固定，螺钉间距不应大于300㎜。如果采用小缝隙压条螺钉钉头应略埋入压条缝内，但不得损坏板面及压条。</w:t>
      </w:r>
    </w:p>
    <w:p>
      <w:pPr>
        <w:spacing w:line="360" w:lineRule="auto"/>
        <w:ind w:firstLine="470" w:firstLineChars="196"/>
        <w:jc w:val="left"/>
        <w:rPr>
          <w:sz w:val="24"/>
        </w:rPr>
      </w:pPr>
      <w:r>
        <w:rPr>
          <w:rFonts w:hint="eastAsia"/>
          <w:sz w:val="24"/>
        </w:rPr>
        <w:t xml:space="preserve">③ </w:t>
      </w:r>
      <w:r>
        <w:rPr>
          <w:sz w:val="24"/>
        </w:rPr>
        <w:t>面板宜使用单块板。如需对接时，应靠紧，但不得强压就位。</w:t>
      </w:r>
    </w:p>
    <w:p>
      <w:pPr>
        <w:spacing w:line="360" w:lineRule="auto"/>
        <w:ind w:firstLine="470" w:firstLineChars="196"/>
        <w:jc w:val="left"/>
        <w:rPr>
          <w:sz w:val="24"/>
        </w:rPr>
      </w:pPr>
      <w:r>
        <w:rPr>
          <w:rFonts w:hint="eastAsia"/>
          <w:sz w:val="24"/>
        </w:rPr>
        <w:t xml:space="preserve">④ </w:t>
      </w:r>
      <w:r>
        <w:rPr>
          <w:sz w:val="24"/>
        </w:rPr>
        <w:t>墙板的下端如用木踢脚板覆盖，罩面板应离地面20㎜～30㎜；用大理石、水磨石踢脚板时，罩面板下端应与踢脚板上口齐平，接缝严密。铺放墙体内的玻璃棉、矿棉板、岩棉板等填充材料，与安装面板同时进行，填充材料应铺满铺平。</w:t>
      </w:r>
    </w:p>
    <w:p>
      <w:pPr>
        <w:spacing w:line="360" w:lineRule="auto"/>
        <w:ind w:firstLine="470" w:firstLineChars="196"/>
        <w:jc w:val="left"/>
        <w:rPr>
          <w:sz w:val="24"/>
        </w:rPr>
      </w:pPr>
      <w:r>
        <w:rPr>
          <w:sz w:val="24"/>
        </w:rPr>
        <w:t>9）阴角及护角处理：面板墙阴角及护角一般需使用角条处理：阴角的接缝处理方法同平缝。阳角按要求作金属护角，按设计要求用镀锌钉固定金属护角条。</w:t>
      </w:r>
    </w:p>
    <w:p>
      <w:pPr>
        <w:spacing w:line="360" w:lineRule="auto"/>
        <w:ind w:firstLine="470" w:firstLineChars="196"/>
        <w:jc w:val="left"/>
        <w:rPr>
          <w:sz w:val="24"/>
        </w:rPr>
      </w:pPr>
      <w:r>
        <w:rPr>
          <w:rFonts w:hint="eastAsia"/>
          <w:sz w:val="24"/>
        </w:rPr>
        <w:t>（</w:t>
      </w:r>
      <w:r>
        <w:rPr>
          <w:sz w:val="24"/>
        </w:rPr>
        <w:t>3</w:t>
      </w:r>
      <w:r>
        <w:rPr>
          <w:rFonts w:hint="eastAsia"/>
          <w:sz w:val="24"/>
        </w:rPr>
        <w:t>）</w:t>
      </w:r>
      <w:r>
        <w:rPr>
          <w:sz w:val="24"/>
        </w:rPr>
        <w:t>成品保护</w:t>
      </w:r>
    </w:p>
    <w:p>
      <w:pPr>
        <w:spacing w:line="360" w:lineRule="auto"/>
        <w:ind w:firstLine="590" w:firstLineChars="246"/>
        <w:jc w:val="left"/>
        <w:rPr>
          <w:sz w:val="24"/>
        </w:rPr>
      </w:pPr>
      <w:r>
        <w:rPr>
          <w:sz w:val="24"/>
        </w:rPr>
        <w:t>1）木龙骨吸声板墙施工中，各工种间应保证已安装项目不受损坏，墙内电线管及附墙设备不得碰撞松动、错位及损伤。</w:t>
      </w:r>
    </w:p>
    <w:p>
      <w:pPr>
        <w:spacing w:line="360" w:lineRule="auto"/>
        <w:ind w:firstLine="590" w:firstLineChars="246"/>
        <w:jc w:val="left"/>
        <w:rPr>
          <w:sz w:val="24"/>
        </w:rPr>
      </w:pPr>
      <w:r>
        <w:rPr>
          <w:sz w:val="24"/>
        </w:rPr>
        <w:t>2</w:t>
      </w:r>
      <w:r>
        <w:rPr>
          <w:rFonts w:hint="eastAsia"/>
          <w:sz w:val="24"/>
        </w:rPr>
        <w:t>）木龙骨及面板入场，存放使用过程中应妥善保管，保证不变形、不受潮、不污染、无损坏。</w:t>
      </w:r>
    </w:p>
    <w:p>
      <w:pPr>
        <w:spacing w:line="360" w:lineRule="auto"/>
        <w:ind w:firstLine="590" w:firstLineChars="246"/>
        <w:jc w:val="left"/>
        <w:rPr>
          <w:sz w:val="24"/>
        </w:rPr>
      </w:pPr>
      <w:r>
        <w:rPr>
          <w:sz w:val="24"/>
        </w:rPr>
        <w:t>3</w:t>
      </w:r>
      <w:r>
        <w:rPr>
          <w:rFonts w:hint="eastAsia"/>
          <w:sz w:val="24"/>
        </w:rPr>
        <w:t>）施工部位已安装的门窗、地面、墙面、窗台等应注意保护，防止损坏。</w:t>
      </w:r>
    </w:p>
    <w:p>
      <w:pPr>
        <w:spacing w:line="360" w:lineRule="auto"/>
        <w:ind w:firstLine="590" w:firstLineChars="246"/>
        <w:jc w:val="left"/>
        <w:rPr>
          <w:sz w:val="24"/>
        </w:rPr>
      </w:pPr>
      <w:r>
        <w:rPr>
          <w:sz w:val="24"/>
        </w:rPr>
        <w:t>4</w:t>
      </w:r>
      <w:r>
        <w:rPr>
          <w:rFonts w:hint="eastAsia"/>
          <w:sz w:val="24"/>
        </w:rPr>
        <w:t>）已安装好的墙面不得碰撞，须保持墙面不受损坏和污染。</w:t>
      </w:r>
    </w:p>
    <w:p>
      <w:pPr>
        <w:spacing w:line="360" w:lineRule="auto"/>
        <w:ind w:firstLine="470" w:firstLineChars="196"/>
        <w:jc w:val="left"/>
        <w:rPr>
          <w:sz w:val="24"/>
        </w:rPr>
      </w:pPr>
      <w:r>
        <w:rPr>
          <w:rFonts w:hint="eastAsia"/>
          <w:sz w:val="24"/>
        </w:rPr>
        <w:t>（4）质量通病防治</w:t>
      </w:r>
    </w:p>
    <w:p>
      <w:pPr>
        <w:spacing w:line="360" w:lineRule="auto"/>
        <w:ind w:firstLine="590" w:firstLineChars="246"/>
        <w:jc w:val="left"/>
        <w:rPr>
          <w:sz w:val="24"/>
        </w:rPr>
      </w:pPr>
      <w:r>
        <w:rPr>
          <w:sz w:val="24"/>
        </w:rPr>
        <w:t>1）板缝翘曲、错位：克服板缝翘曲、错位，首先木龙骨结构构造要合理，应具备一定刚度；二是面板不能受潮变形，与木龙骨的钉固要牢固；三是接缝要考究，保证墙体伸缩变形时接缝不易错位；四是合理设置变形缝，严格按操作工艺施工。只有综合处理，才能克服板缝翘曲、错位的质量通病。</w:t>
      </w:r>
    </w:p>
    <w:p>
      <w:pPr>
        <w:spacing w:line="360" w:lineRule="auto"/>
        <w:ind w:firstLine="470" w:firstLineChars="196"/>
        <w:jc w:val="left"/>
        <w:rPr>
          <w:sz w:val="24"/>
        </w:rPr>
      </w:pPr>
      <w:r>
        <w:rPr>
          <w:rFonts w:hint="eastAsia"/>
          <w:sz w:val="24"/>
        </w:rPr>
        <w:t>2</w:t>
      </w:r>
      <w:r>
        <w:rPr>
          <w:sz w:val="24"/>
        </w:rPr>
        <w:t>）超过12m长的墙体应按设计要求做控制变形缝，以防止因温度和湿度的影响产生墙体变形和裂缝。</w:t>
      </w:r>
    </w:p>
    <w:p>
      <w:pPr>
        <w:spacing w:line="360" w:lineRule="auto"/>
        <w:ind w:firstLine="470" w:firstLineChars="196"/>
        <w:jc w:val="left"/>
        <w:rPr>
          <w:sz w:val="24"/>
        </w:rPr>
      </w:pPr>
      <w:r>
        <w:rPr>
          <w:rFonts w:hint="eastAsia"/>
          <w:sz w:val="24"/>
        </w:rPr>
        <w:t>3</w:t>
      </w:r>
      <w:r>
        <w:rPr>
          <w:sz w:val="24"/>
        </w:rPr>
        <w:t>）应控制供热温度，并注意开窗通风，以防干热造成墙体变形和裂缝。</w:t>
      </w:r>
    </w:p>
    <w:p>
      <w:pPr>
        <w:spacing w:line="360" w:lineRule="auto"/>
        <w:ind w:firstLine="470" w:firstLineChars="196"/>
        <w:jc w:val="left"/>
        <w:rPr>
          <w:sz w:val="24"/>
        </w:rPr>
      </w:pPr>
      <w:r>
        <w:rPr>
          <w:rFonts w:hint="eastAsia"/>
          <w:sz w:val="24"/>
        </w:rPr>
        <w:t>4</w:t>
      </w:r>
      <w:r>
        <w:rPr>
          <w:sz w:val="24"/>
        </w:rPr>
        <w:t>）木龙骨架连接不牢固，其原因是局部节点不符合构造要求，安装时局部节点应严格按图上的规定处理，钉固间距、位置、连接方法应符合设计要求。</w:t>
      </w:r>
    </w:p>
    <w:p>
      <w:pPr>
        <w:spacing w:line="360" w:lineRule="auto"/>
        <w:ind w:firstLine="470" w:firstLineChars="196"/>
        <w:jc w:val="left"/>
        <w:rPr>
          <w:sz w:val="24"/>
        </w:rPr>
      </w:pPr>
      <w:r>
        <w:rPr>
          <w:rFonts w:hint="eastAsia"/>
          <w:sz w:val="24"/>
        </w:rPr>
        <w:t>5</w:t>
      </w:r>
      <w:r>
        <w:rPr>
          <w:sz w:val="24"/>
        </w:rPr>
        <w:t>）墙体罩面板不平，多数由两个原因造成：一是龙骨安装横向错位；二是面板厚度不一致。</w:t>
      </w:r>
    </w:p>
    <w:p>
      <w:pPr>
        <w:spacing w:line="360" w:lineRule="auto"/>
        <w:ind w:firstLine="470" w:firstLineChars="196"/>
        <w:jc w:val="left"/>
        <w:rPr>
          <w:sz w:val="24"/>
        </w:rPr>
      </w:pPr>
      <w:r>
        <w:rPr>
          <w:rFonts w:hint="eastAsia"/>
          <w:sz w:val="24"/>
        </w:rPr>
        <w:t>6</w:t>
      </w:r>
      <w:r>
        <w:rPr>
          <w:sz w:val="24"/>
        </w:rPr>
        <w:t>）明凹缝不匀：面板拉缝未很好掌握尺寸，施工时注意板块分档尺寸，保证板间拉缝一致。</w:t>
      </w:r>
    </w:p>
    <w:p>
      <w:pPr>
        <w:spacing w:line="360" w:lineRule="auto"/>
        <w:ind w:firstLine="470" w:firstLineChars="196"/>
        <w:jc w:val="left"/>
        <w:rPr>
          <w:sz w:val="24"/>
        </w:rPr>
      </w:pPr>
      <w:r>
        <w:rPr>
          <w:rFonts w:hint="eastAsia"/>
          <w:sz w:val="24"/>
        </w:rPr>
        <w:t>7</w:t>
      </w:r>
      <w:r>
        <w:rPr>
          <w:sz w:val="24"/>
        </w:rPr>
        <w:t>）</w:t>
      </w:r>
      <w:r>
        <w:rPr>
          <w:rFonts w:hint="eastAsia"/>
          <w:sz w:val="24"/>
        </w:rPr>
        <w:t>木龙骨及木内衬板在使用前必须涂刷防腐漆，做好防潮、防白蚁措施，防止变形。</w:t>
      </w:r>
    </w:p>
    <w:p>
      <w:pPr>
        <w:spacing w:line="360" w:lineRule="auto"/>
        <w:ind w:firstLine="470" w:firstLineChars="196"/>
        <w:jc w:val="left"/>
        <w:rPr>
          <w:sz w:val="24"/>
        </w:rPr>
      </w:pPr>
      <w:r>
        <w:rPr>
          <w:rFonts w:hint="eastAsia"/>
          <w:sz w:val="24"/>
        </w:rPr>
        <w:t>（5）验收标准</w:t>
      </w:r>
    </w:p>
    <w:p>
      <w:pPr>
        <w:spacing w:line="360" w:lineRule="auto"/>
        <w:ind w:firstLine="470" w:firstLineChars="196"/>
        <w:jc w:val="left"/>
        <w:rPr>
          <w:sz w:val="24"/>
        </w:rPr>
      </w:pPr>
      <w:bookmarkStart w:id="1" w:name="_Toc395266593"/>
      <w:r>
        <w:rPr>
          <w:rFonts w:hint="eastAsia"/>
          <w:sz w:val="24"/>
        </w:rPr>
        <w:t>工程验收应满足现行国家和地方相关规范、标准的相关规定，以及本《指引》的相关要求</w:t>
      </w:r>
      <w:r>
        <w:rPr>
          <w:sz w:val="24"/>
        </w:rPr>
        <w:t>。</w:t>
      </w:r>
      <w:bookmarkEnd w:id="1"/>
    </w:p>
    <w:p>
      <w:pPr>
        <w:spacing w:line="360" w:lineRule="auto"/>
        <w:ind w:firstLine="470" w:firstLineChars="196"/>
        <w:jc w:val="left"/>
        <w:rPr>
          <w:sz w:val="24"/>
        </w:rPr>
      </w:pPr>
      <w:r>
        <w:rPr>
          <w:rFonts w:hint="eastAsia"/>
          <w:sz w:val="24"/>
        </w:rPr>
        <w:t>4、其他：</w:t>
      </w:r>
    </w:p>
    <w:p>
      <w:pPr>
        <w:spacing w:line="360" w:lineRule="auto"/>
        <w:ind w:firstLine="470" w:firstLineChars="196"/>
        <w:jc w:val="left"/>
        <w:rPr>
          <w:sz w:val="24"/>
        </w:rPr>
      </w:pPr>
      <w:r>
        <w:rPr>
          <w:rFonts w:hint="eastAsia"/>
          <w:sz w:val="24"/>
        </w:rPr>
        <w:t>墙面墙纸和橱窗背板，做法按原材料和工艺进行翻新恢复。具体做法应征得设计同意。</w:t>
      </w:r>
    </w:p>
    <w:p>
      <w:pPr>
        <w:pStyle w:val="21"/>
        <w:adjustRightInd w:val="0"/>
        <w:snapToGrid w:val="0"/>
        <w:spacing w:line="360" w:lineRule="auto"/>
        <w:ind w:firstLine="482" w:firstLineChars="200"/>
        <w:rPr>
          <w:rFonts w:ascii="Calibri" w:hAnsi="Calibri"/>
          <w:b/>
          <w:kern w:val="2"/>
          <w:sz w:val="24"/>
          <w:szCs w:val="22"/>
        </w:rPr>
      </w:pPr>
      <w:r>
        <w:rPr>
          <w:rFonts w:hint="eastAsia" w:ascii="Calibri" w:hAnsi="Calibri"/>
          <w:b/>
          <w:kern w:val="2"/>
          <w:sz w:val="24"/>
          <w:szCs w:val="22"/>
        </w:rPr>
        <w:t>四、门窗工程</w:t>
      </w:r>
    </w:p>
    <w:p>
      <w:pPr>
        <w:pStyle w:val="21"/>
        <w:adjustRightInd w:val="0"/>
        <w:snapToGrid w:val="0"/>
        <w:spacing w:line="360" w:lineRule="auto"/>
        <w:ind w:firstLine="482" w:firstLineChars="200"/>
        <w:rPr>
          <w:rFonts w:ascii="Calibri" w:hAnsi="Calibri"/>
          <w:b/>
          <w:kern w:val="2"/>
          <w:sz w:val="24"/>
          <w:szCs w:val="22"/>
        </w:rPr>
      </w:pPr>
      <w:r>
        <w:rPr>
          <w:rFonts w:hint="eastAsia" w:ascii="Calibri" w:hAnsi="Calibri"/>
          <w:b/>
          <w:kern w:val="2"/>
          <w:sz w:val="24"/>
          <w:szCs w:val="22"/>
        </w:rPr>
        <w:t>总则：本工程所用的门窗必须是成品门窗，不得现场加工制作，门窗的材质颜色及其配件以实物样板（如果有）为准，质量不得低于实物样板（如果有）。承包人在门窗加工前一个月提供门窗的加工厂家报监理工程师及发包人审批、考察、备案，如未经审批合格，一律不得使用。否则，凡由此造成纠纷，影响工程质量、工期的由承包人承担全部责任。</w:t>
      </w:r>
    </w:p>
    <w:p>
      <w:pPr>
        <w:spacing w:line="360" w:lineRule="auto"/>
        <w:jc w:val="left"/>
        <w:rPr>
          <w:sz w:val="24"/>
        </w:rPr>
      </w:pPr>
      <w:r>
        <w:rPr>
          <w:rFonts w:hint="eastAsia"/>
          <w:sz w:val="24"/>
        </w:rPr>
        <w:t>本工程所注门窗尺寸均为洞口尺寸，门窗制作时应按门窗立面图要求预留安装尺寸，具体见下表</w:t>
      </w:r>
    </w:p>
    <w:p>
      <w:pPr>
        <w:tabs>
          <w:tab w:val="left" w:pos="0"/>
        </w:tabs>
        <w:spacing w:line="300" w:lineRule="auto"/>
        <w:jc w:val="center"/>
        <w:rPr>
          <w:sz w:val="24"/>
        </w:rPr>
      </w:pPr>
      <w:r>
        <w:rPr>
          <w:rFonts w:hint="eastAsia"/>
          <w:sz w:val="24"/>
        </w:rPr>
        <w:t>门窗安装缝隙</w:t>
      </w:r>
    </w:p>
    <w:tbl>
      <w:tblPr>
        <w:tblStyle w:val="43"/>
        <w:tblW w:w="88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7"/>
        <w:gridCol w:w="1267"/>
        <w:gridCol w:w="1412"/>
        <w:gridCol w:w="1472"/>
        <w:gridCol w:w="1472"/>
        <w:gridCol w:w="14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37" w:type="dxa"/>
          </w:tcPr>
          <w:p>
            <w:pPr>
              <w:spacing w:line="300" w:lineRule="auto"/>
              <w:jc w:val="center"/>
              <w:rPr>
                <w:rFonts w:ascii="宋体" w:hAnsi="宋体"/>
              </w:rPr>
            </w:pPr>
            <w:r>
              <w:rPr>
                <w:rFonts w:hint="eastAsia" w:ascii="宋体" w:hAnsi="宋体"/>
              </w:rPr>
              <w:t>饰面材料</w:t>
            </w:r>
          </w:p>
        </w:tc>
        <w:tc>
          <w:tcPr>
            <w:tcW w:w="1267" w:type="dxa"/>
          </w:tcPr>
          <w:p>
            <w:pPr>
              <w:spacing w:line="300" w:lineRule="auto"/>
              <w:jc w:val="center"/>
              <w:rPr>
                <w:rFonts w:ascii="宋体" w:hAnsi="宋体"/>
              </w:rPr>
            </w:pPr>
            <w:r>
              <w:rPr>
                <w:rFonts w:hint="eastAsia" w:ascii="宋体" w:hAnsi="宋体"/>
              </w:rPr>
              <w:t>金属板</w:t>
            </w:r>
          </w:p>
        </w:tc>
        <w:tc>
          <w:tcPr>
            <w:tcW w:w="1412" w:type="dxa"/>
          </w:tcPr>
          <w:p>
            <w:pPr>
              <w:spacing w:line="300" w:lineRule="auto"/>
              <w:jc w:val="center"/>
              <w:rPr>
                <w:rFonts w:ascii="宋体" w:hAnsi="宋体"/>
              </w:rPr>
            </w:pPr>
            <w:r>
              <w:rPr>
                <w:rFonts w:hint="eastAsia" w:ascii="宋体" w:hAnsi="宋体"/>
              </w:rPr>
              <w:t>砼墙</w:t>
            </w:r>
          </w:p>
        </w:tc>
        <w:tc>
          <w:tcPr>
            <w:tcW w:w="1472" w:type="dxa"/>
          </w:tcPr>
          <w:p>
            <w:pPr>
              <w:spacing w:line="300" w:lineRule="auto"/>
              <w:jc w:val="center"/>
              <w:rPr>
                <w:rFonts w:ascii="宋体" w:hAnsi="宋体"/>
              </w:rPr>
            </w:pPr>
            <w:r>
              <w:rPr>
                <w:rFonts w:hint="eastAsia" w:ascii="宋体" w:hAnsi="宋体"/>
              </w:rPr>
              <w:t>涂料</w:t>
            </w:r>
          </w:p>
        </w:tc>
        <w:tc>
          <w:tcPr>
            <w:tcW w:w="1472" w:type="dxa"/>
          </w:tcPr>
          <w:p>
            <w:pPr>
              <w:spacing w:line="300" w:lineRule="auto"/>
              <w:jc w:val="center"/>
              <w:rPr>
                <w:rFonts w:ascii="宋体" w:hAnsi="宋体"/>
              </w:rPr>
            </w:pPr>
            <w:r>
              <w:rPr>
                <w:rFonts w:hint="eastAsia" w:ascii="宋体" w:hAnsi="宋体"/>
              </w:rPr>
              <w:t>面砖</w:t>
            </w:r>
          </w:p>
        </w:tc>
        <w:tc>
          <w:tcPr>
            <w:tcW w:w="1473" w:type="dxa"/>
          </w:tcPr>
          <w:p>
            <w:pPr>
              <w:spacing w:line="300" w:lineRule="auto"/>
              <w:jc w:val="center"/>
              <w:rPr>
                <w:rFonts w:ascii="宋体" w:hAnsi="宋体"/>
              </w:rPr>
            </w:pPr>
            <w:r>
              <w:rPr>
                <w:rFonts w:hint="eastAsia" w:ascii="宋体" w:hAnsi="宋体"/>
              </w:rPr>
              <w:t>石材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37" w:type="dxa"/>
          </w:tcPr>
          <w:p>
            <w:pPr>
              <w:spacing w:line="300" w:lineRule="auto"/>
              <w:jc w:val="center"/>
              <w:rPr>
                <w:rFonts w:ascii="宋体" w:hAnsi="宋体"/>
              </w:rPr>
            </w:pPr>
            <w:r>
              <w:rPr>
                <w:rFonts w:hint="eastAsia" w:ascii="宋体" w:hAnsi="宋体"/>
              </w:rPr>
              <w:t>预留缝隙（㎜）</w:t>
            </w:r>
          </w:p>
        </w:tc>
        <w:tc>
          <w:tcPr>
            <w:tcW w:w="1267" w:type="dxa"/>
          </w:tcPr>
          <w:p>
            <w:pPr>
              <w:spacing w:line="300" w:lineRule="auto"/>
              <w:jc w:val="center"/>
              <w:rPr>
                <w:rFonts w:ascii="宋体" w:hAnsi="宋体"/>
              </w:rPr>
            </w:pPr>
            <w:r>
              <w:rPr>
                <w:rFonts w:hint="eastAsia" w:ascii="宋体" w:hAnsi="宋体"/>
              </w:rPr>
              <w:t>5</w:t>
            </w:r>
          </w:p>
        </w:tc>
        <w:tc>
          <w:tcPr>
            <w:tcW w:w="1412" w:type="dxa"/>
          </w:tcPr>
          <w:p>
            <w:pPr>
              <w:spacing w:line="300" w:lineRule="auto"/>
              <w:jc w:val="center"/>
              <w:rPr>
                <w:rFonts w:ascii="宋体" w:hAnsi="宋体"/>
              </w:rPr>
            </w:pPr>
            <w:r>
              <w:rPr>
                <w:rFonts w:hint="eastAsia" w:ascii="宋体" w:hAnsi="宋体"/>
              </w:rPr>
              <w:t>15</w:t>
            </w:r>
          </w:p>
        </w:tc>
        <w:tc>
          <w:tcPr>
            <w:tcW w:w="1472" w:type="dxa"/>
          </w:tcPr>
          <w:p>
            <w:pPr>
              <w:spacing w:line="300" w:lineRule="auto"/>
              <w:jc w:val="center"/>
              <w:rPr>
                <w:rFonts w:ascii="宋体" w:hAnsi="宋体"/>
              </w:rPr>
            </w:pPr>
            <w:r>
              <w:rPr>
                <w:rFonts w:hint="eastAsia" w:ascii="宋体" w:hAnsi="宋体"/>
              </w:rPr>
              <w:t>20</w:t>
            </w:r>
          </w:p>
        </w:tc>
        <w:tc>
          <w:tcPr>
            <w:tcW w:w="1472" w:type="dxa"/>
          </w:tcPr>
          <w:p>
            <w:pPr>
              <w:spacing w:line="300" w:lineRule="auto"/>
              <w:jc w:val="center"/>
              <w:rPr>
                <w:rFonts w:ascii="宋体" w:hAnsi="宋体"/>
              </w:rPr>
            </w:pPr>
            <w:r>
              <w:rPr>
                <w:rFonts w:hint="eastAsia" w:ascii="宋体" w:hAnsi="宋体"/>
              </w:rPr>
              <w:t>25</w:t>
            </w:r>
          </w:p>
        </w:tc>
        <w:tc>
          <w:tcPr>
            <w:tcW w:w="1473" w:type="dxa"/>
          </w:tcPr>
          <w:p>
            <w:pPr>
              <w:spacing w:line="300" w:lineRule="auto"/>
              <w:jc w:val="center"/>
              <w:rPr>
                <w:rFonts w:ascii="宋体" w:hAnsi="宋体"/>
              </w:rPr>
            </w:pPr>
            <w:r>
              <w:rPr>
                <w:rFonts w:hint="eastAsia" w:ascii="宋体" w:hAnsi="宋体"/>
              </w:rPr>
              <w:t>50</w:t>
            </w:r>
          </w:p>
        </w:tc>
      </w:tr>
    </w:tbl>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1、木门制作与安装工程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本工程装饰木门必须采用成品门，不得现场加工制作，木门材质颜色及其配件以实物样板为准，质量不得低于实物样板。</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(1)木门制作与安装工程材料要求：</w:t>
      </w:r>
    </w:p>
    <w:p>
      <w:pPr>
        <w:pStyle w:val="21"/>
        <w:adjustRightInd w:val="0"/>
        <w:snapToGrid w:val="0"/>
        <w:spacing w:line="360" w:lineRule="auto"/>
        <w:ind w:firstLine="480" w:firstLineChars="200"/>
        <w:rPr>
          <w:rFonts w:ascii="Calibri" w:hAnsi="Calibri"/>
          <w:kern w:val="2"/>
          <w:sz w:val="24"/>
          <w:szCs w:val="22"/>
        </w:rPr>
      </w:pPr>
      <w:r>
        <w:rPr>
          <w:rFonts w:ascii="Calibri" w:hAnsi="Calibri"/>
          <w:kern w:val="2"/>
          <w:sz w:val="24"/>
          <w:szCs w:val="22"/>
        </w:rPr>
        <w:fldChar w:fldCharType="begin"/>
      </w:r>
      <w:r>
        <w:rPr>
          <w:rFonts w:ascii="Calibri" w:hAnsi="Calibri"/>
          <w:kern w:val="2"/>
          <w:sz w:val="24"/>
          <w:szCs w:val="22"/>
        </w:rPr>
        <w:instrText xml:space="preserve"> = 1 \* GB3 </w:instrText>
      </w:r>
      <w:r>
        <w:rPr>
          <w:rFonts w:ascii="Calibri" w:hAnsi="Calibri"/>
          <w:kern w:val="2"/>
          <w:sz w:val="24"/>
          <w:szCs w:val="22"/>
        </w:rPr>
        <w:fldChar w:fldCharType="separate"/>
      </w:r>
      <w:r>
        <w:rPr>
          <w:rFonts w:ascii="Calibri" w:hAnsi="Calibri"/>
          <w:kern w:val="2"/>
          <w:sz w:val="24"/>
          <w:szCs w:val="22"/>
        </w:rPr>
        <w:t>①</w:t>
      </w:r>
      <w:r>
        <w:rPr>
          <w:rFonts w:ascii="Calibri" w:hAnsi="Calibri"/>
          <w:kern w:val="2"/>
          <w:sz w:val="24"/>
          <w:szCs w:val="22"/>
        </w:rPr>
        <w:fldChar w:fldCharType="end"/>
      </w:r>
      <w:r>
        <w:rPr>
          <w:rFonts w:hint="eastAsia" w:ascii="Calibri" w:hAnsi="Calibri"/>
          <w:kern w:val="2"/>
          <w:sz w:val="24"/>
          <w:szCs w:val="22"/>
        </w:rPr>
        <w:t>板材：室内装饰工程中的木门应采用厚木夹板，细木工板，中密度纤维板材料，</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在潮湿环境内须采用防水胶合板。</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②小五角金：要根据设计要求选用小五金，且有相应的合格证等资料。</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③油漆：选用符合国家标准的油漆涂料。</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(2)木门的安装工艺</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①门框的安装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安装方法：门框有两种安装方法，其施工工艺如下：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a先立口法。在砌墙前把门框按图纸位置立直、找正，并固定好。这种施工方法必须在施工前把门框做好运至现场。</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b后塞口法。在砌墙时预先按门尺寸留好洞口，在洞口两边预埋木砖，然后将门框塞入洞内，在木砖处垫好木片，并用钉子钉牢(预埋木砖的位置应避开门扇安装铰链处)。</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②施工要点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a先立口安装施工：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当砌墙到室内地坪时，立门框：碰到窗台时，立窗框。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立口前，按照图纸上门的位置、尺寸、把门的中线和边线画到地面或墙上。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砌墙过程中不要碰动支撑，井应陌对门框进行校正，防止门框出现位移、歪斜等现象。砌到放木砖的位置时，要校核是否垂直，如有不直，在放木砖时要随时纠正。否则，木砖砌入墙内，将门框固定，就难以纠正。每边的木砖不少于2~3块。</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同一墙面的木框应安装整齐。可先立两端的门框然后拉一通线，其他的框按通线竖立。这样可保证同排门框的位置的标高一致。</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立框时，一定要注意以下两点：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特别要注意门的开启方向，防止出现错误难以纠正。</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注意图纸上门框是否是在墙中，还是靠近墙里皮。如果是里皮的，门框应出里皮墙面(即内墙面)20mm，这样抹完灰后，门框正好和墙面相平。</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b后塞口安装施工：</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门洞口要按图纸上的位置和尺寸留出。洞口应比门口大30～40mm(每边大15～20mm)。</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砌墙时，洞口两侧按规定砌入木砖，木砖大小约半砖，间距不大于1.2m，每边2~3块。</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安装门框塞进门洞内，用木楔临时固定，用线锤和水平尺校正。校正后，用钉子把门框钉牢在木砖上，每个木砖上应钉两个钉子，钉帽砸扁冲入梃内。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立口时，一定要注意门的开启方向。</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③门扇的安装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A．施工准备：安装门扇前，先要检查门框上、中、下三部分是否一样宽，如果相差超过5mm，就必须修整。核对门扇的开启方向，并打记号，以免把扇安错。安装前，预先量出门框口的净尺寸，考虑风缝(松动)的大小，再好进一步确定扇的宽度和高度，并进行修刨。应将门扇固定于门框中，并检查与门框配合的松紧度。由于术材有干缩湿胀的性质，而且门扇门框上都需要有油漆及打底层的厚度，所以安装时要留封。一般门扇对口处竖缝留l.5~2.5mm，并按此尺寸进行修刨。</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B施工要点：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a将修刨好的门扇，用木楔临时立于门框中，排好缝隙后画出铰链位置。铰链位置距上、下边的距离是门扇宽度的1/10，这个位置对铰链受力比较有利，又可避开头。然后把扇取下来，用扇铲剔出铰链页槽。铰链页槽应外边浅，里边深，其深度应当是把铰链合上后与框、扇平正位准。剔好铰链槽后，将铰链放入，上下各拧紧一颗螺丝钉把扇挂上，检查缝隙是否符合要求，扇能否齐平，扇能否关住。检查合格后，再把螺丝钉全部上齐。</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b双扇门扇安装方法与单扇的安装基本相同，只是多一道工序——错口。双扇应按开启方向看，右手是门盖口，左手门是等口。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c门扇安装好后要试开，其标准是：以开到哪里就能停到哪里为好，不能有自开或自关的现象。如果发现门扇在高、宽上有短缺的情况，高度上应将补钉的板条钉在下冒头下面，宽度上，在安装铰链一边的梃上补钉板条。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d为了开关方便，平开扇上、下冒头最好创成斜面。</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2、金属门窗安装工程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(1)金属门窗安装施工前准备</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 a门、窗洞口质量检查</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金属门窗安装前，应对洞口进行检验。如果内外墙均是抹灰，窗框的实际外缘尺寸每一侧应比洞口的尺寸小2cm。如果是大理石面层门、窗框的外缘尺寸应比洞口实际尺寸小5cm左右，预留洞的偏差应符合规定。</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b检查金属门窗的质量</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检查门窗的尺寸是否符合设计要求，有无变形和扭曲，是否方正。</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检查门窗的出厂质量合格证、产品准用证、综合性能指标测试报告、等级品种是否符合设计。</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检查窗门框表面是否完好，有无碰伤划痕，有无明显色差。</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检查各种配件；</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在安装金属门窗前，应检查门窗各种配件数量、品种、规格是否符合施工要求。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(2)金属门窗安装施工工艺要点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施工工艺流程：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弹线一安放金属门窗框一临时固定一校正一预埋件(包括防雷接地)验收一贴保护胶纸一填缝一门窗扇安装一清理。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①弹线：按设计要求在门、窗洞口弹出门窗位置线，并注意同一立面的窗在水平及垂直方向应做到整齐一致，还要特别注意室内地面的标高，地弹簧的表面，应该与室内地面标高一致。</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安框：在安装制作好的金属窗、门框时，吊垂线后要卡方，待两条对角线的长度相等，表面垂直后，将框临时用木楔固定，待检查立面垂直，左右间隙，上下位置符合要求后，再用射钉将镀锌锚固板固定在结构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③填缝：金属门、窗框在填缝前经过平整、垂直度等的安装质量复查后，再将框周围清扫干净，洒水湿润基层。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对于较宽的窗框，仅靠内外挤灰时挤进一部分灰是不能饱满的，应专门进行填缝。填缝所用的材料，原则上按设计要求选用，但不论选用何种材料，应达到密闭防水的目的。当用水泥砂浆做填缝材料时，门、窗框的外侧应刷上防腐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④抹面：金属框四周的塞灰砂浆达到一定的强度后(一般需24h)，才能轻轻取下框旁的木楔，继续补灰，然后才能抹面层。压平抹光。</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⑤门、窗扇的安装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a在土建施工基本做完的情况下方可进行安装，应合理安排进度。</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b平开窗扇安装前，先固定窗铰链，然后将窗铰链与窗扇固定，框装扇必须保证窗扇立面在同一平面内，要达到周边密封，启闭灵活。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c如是安装门扇，下面安装地弹自由簧，可向内外自由开闭。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⑥金属门、窗完工前，应将型材表面的塑料胶纸撕掉。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3、防火门安装工程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(1)防火门安装施工工艺要求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钢质防火门的安装施工顺序：划线一立门框一安装门扇及附件。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①划线：按设计要求尺寸，标高和方向，画出门框口位置线。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②立门框；先拆掉门框下部的固定板，凡框内高度比门扇的高度大于30mm者洞口两侧地面须设留凹槽。门框一般埋入±0.00标高以下20mm，须保证框口上下尺寸相同。允许误差小于l.5mm，对角线允许误差小于2mm.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③安装门扇及附件：门框周边缝隙，用1:2的水泥砂浆或强度不低于lOMPa的细石混凝土嵌塞牢固，应保证与墙体结成整体；经养护凝固后，再粉刷洞口及墙体。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粉刷完工后，安装门扇，五金配件及有关防火装置。门扇关闭后，门缝应均匀平整，开启自由轻便。不得有过紧、过松和反弹现象。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(2)防火门构造要求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①为了防止火灾蔓延和扩大，防火门必须在构造上设计有隔断装置，即装设保险丝。一旦火灾发生，热量使保险丝熔断，自动关锁装置就开始进行隔断，达到防火目的。</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②金属防火门，由于火灾时的温度使其膨胀，可能不好关闭；或是因为门框阻止门膨胀而产生翘曲，从而引起间隙；或是使门框破坏。必须在构造上采用措施，不使这类现象产生。</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4、防火门工程技术要求：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防火门的材质详见防火门明细表(由设计院提供)。</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(1) 钢质防火门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①通过“中国消防产品质量认证委员会”检验，具有在有效期内的《产品型式认可证书》。</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②通过“国家固定灭火系统和耐火构件质量监督检验中心”检验，具有在有效期内的《检验报告》。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③防火门内填充材料为不燃性或难燃性轻质防火型材，以保持平整度及保证防火性能在现场抽样达到防火检测要求；通过“国家固定灭火系统和耐火构件质量监督检验中心”检验，并且具有在有效期内的填充材料的《检验报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④门扇钢板厚度不小于0.8mm，门框钢板厚度不小于1.5mm，加固件应采用不小于1.2 mm厚的钢板，加固件如设有螺孔，钢板厚度应不小于3.0mm；防火锁安装处要进行加固处理。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⑤防火密封条通过“国家固定灭火系统和耐火构件质量监督检验中心”检验，具有在有效期内的《检验报告》。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⑥表面静电喷塑。</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⑦防火玻璃通过“国家固定灭火系统和耐火构件质量监督检验中心”检验，具有在有效期内的《检验报告》；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 防火门和防火卷帘门的安装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防火门、防火卷帘必须由具有相应资质的专业生产厂家制作和安装。防火门的安装要求根据房间的功能和外装修的协调要求而定，承包人应根据安装节点示意图进行深化设计，以成熟工艺保证门扇与外框面在同一平面上，保证设计意图的实现。</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 质量要求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本工程防火门、防火卷帘门应按国家现行规范及消防管理部门的规定标准进行制作安装及验收，工程质量要求达到合格标准。外观要求应符合发包人确认的样板条件。洞口尺寸仅为报价依据，制作时应实地测量洞口尺寸。本招标文件提供的数量，如与施工图不符者以施工图为准。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(4)防火门窗的样板制作与验收。</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承包人必须按照确定的各种防火门窗样板进行制作、加工和施工，以供发包人、监理工程师、设计部门、质监部门进行检查，检查合格后，方可进行大面积的防火门窗安装。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防火门窗样品表面的装饰材料与装饰施工图的要求有出入时，要以装饰施工图的技术要求为准。</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(5)监造和检验</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承包人选择的防火门窗生产厂商(以下简称厂商)在产品生产期间，应邀请发包人代表到主要材料制造厂进行产品监造。当主要材料在中国制造，发包人进行监造时，供货商应提前二周发出通知；如果在规定的时间内发包人代表不到场，在发包人同意的前提下，工作可按发包人在场的情况进行，并应及时把结果报告发包人。</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承包人必须在主要材料制造完成后的两周内将所有检验证书和报告提交监理工程师签证。</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主要材料的检验应在工厂完成，承包人应提供必要的技术资料、图纸、检验标准和计划，供发包人认可。如果测试工作超出了厂商的能力，则应安排到有测试条件、具备相应资质的第四方(指除发包人、承包人、制造方以外的另一方)进行。测试工作的任何变化都应事先征得发包人的书面确认．如果某些产品在其它场所制造和测试时，厂商应替发包人办理进入现场的证明并亲自陪同。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制造期间，发包人拥有检查的权力，以及索取图纸和试验结果的权力，承包人应提供支持。如发包人代表有要求，承包人应解释监造、工厂检验的一切事项，直到发包人代表满意，如不符合本条款要求规定，承包人应按发包人要求作无偿改进。由此引起的延误，不得作为工期延期和增加费用的理由。</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承包人必须在每一个测试项目完成后的两周内，将测试证书和报告提交发包人。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5、设计要求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(1)本工程所注门窗尺寸均为洞口尺寸，门窗制作时应按门窗立面图要求预留安装尺寸，门窗立面为外视立面。</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本设计图中的门窗立面图及玻璃隔断立面图只表示门窗、隔断的立面分格示意和形式及开启方式，其构件尺寸、截面大小、构件节点和安装图等应由生产厂家进行深化设计。外门窗的抗风性能、空气渗透性能、雨水渗透性能等由生产负责保证符合现行国家标准规定，满足使用要求。生产厂家的深化设计图需经建设、设计、监理审核后才能进行加工和安装。</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(3)本工程所有玻璃均使用钢化玻璃。</w:t>
      </w:r>
    </w:p>
    <w:p>
      <w:pPr>
        <w:pStyle w:val="21"/>
        <w:adjustRightInd w:val="0"/>
        <w:snapToGrid w:val="0"/>
        <w:spacing w:line="360" w:lineRule="auto"/>
        <w:ind w:firstLine="472" w:firstLineChars="196"/>
        <w:rPr>
          <w:rFonts w:ascii="Calibri" w:hAnsi="Calibri"/>
          <w:b/>
          <w:kern w:val="2"/>
          <w:sz w:val="24"/>
          <w:szCs w:val="22"/>
        </w:rPr>
      </w:pPr>
      <w:r>
        <w:rPr>
          <w:rFonts w:hint="eastAsia" w:ascii="Calibri" w:hAnsi="Calibri"/>
          <w:b/>
          <w:kern w:val="2"/>
          <w:sz w:val="24"/>
          <w:szCs w:val="22"/>
        </w:rPr>
        <w:t>五、吊顶（顶棚）工程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1、龙骨吊顶材料要求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(1)龙骨吊顶的龙骨材料的类别与型号应符合设计要求，承包商须提供产品合格证。</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(2)罩面板材料和形状尺寸应符合设计要求，要求承包商提供其产品合格证。</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2、龙骨吊顶的施工控制要点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(1)主龙骨的连接处应相互错位，不宣安装在同一条线上。</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(2)吊筋与主龙骨的端部距离不得超过300mm，以免龙骨悬臂过大而造成端部下坠变形。</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(3)龙骨要有足够的刚度，是否安装水平与顺直方正。</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(4)应在房间的中间适度起拱，一般控制在房间宽度的1/200。</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(5)检查需安装在结构基体下及顶棚内所有水、电、通风、空调等管线是否已安装完；管道灌水试压是否完毕。</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(6)检查是否与已经绘制吊顶之棚平面布置图，须穿出顶棚罩面板安装的灯槽等与龙骨框格是否吻合。</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(7)检查各吊杆位置是否正确，固定是否牢靠，吊杆是否具有足够承载能力，是否通直。</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(8)检查材料是否齐备。质量是否合格。</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(9)检查是否与相应部位弹出龙骨安装标高及其不平线、分格线、吊点位置线。</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（10）检查所有金属连接杆，吊挂件等是否有防锈处理，连接是否可靠，纵横龙骨平面相交连接是否牢固，密合、平齐、方正、框格尺寸是否与罩面板规格相符，留有安装间隔。</w:t>
      </w:r>
    </w:p>
    <w:p>
      <w:pPr>
        <w:autoSpaceDE w:val="0"/>
        <w:autoSpaceDN w:val="0"/>
        <w:adjustRightInd w:val="0"/>
        <w:spacing w:line="360" w:lineRule="auto"/>
        <w:ind w:firstLine="600" w:firstLineChars="250"/>
        <w:jc w:val="left"/>
        <w:rPr>
          <w:sz w:val="24"/>
        </w:rPr>
      </w:pPr>
      <w:r>
        <w:rPr>
          <w:rFonts w:hint="eastAsia"/>
          <w:sz w:val="24"/>
        </w:rPr>
        <w:t>⑾吊杆与主龙骨、主龙骨与次龙骨拼接应平整。</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3、龙骨吊顶罩面板安装施工质量控制要点</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(1)检查罩面板质量是否符合设计要求，质量是否合格，颜色是否一致，花纹图案是否易对花，建设单位对其是否认可。</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(2)检查罩面板材料是否符合环保要求及卫生要求。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(3)检查罩面板是否安放平整，是否有翘曲变形、漏、透现象，有花纹图案是否安装符合要求。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(4)检查罩面板表面是否有污染、折裂、缺棱掉角、锤印及发霉等。</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(5)半嵌式罩面板尚应检查接缝是否均匀一致，高低启口是否破裂。</w:t>
      </w:r>
    </w:p>
    <w:p>
      <w:pPr>
        <w:autoSpaceDE w:val="0"/>
        <w:autoSpaceDN w:val="0"/>
        <w:adjustRightInd w:val="0"/>
        <w:spacing w:line="360" w:lineRule="auto"/>
        <w:ind w:firstLine="480" w:firstLineChars="200"/>
        <w:jc w:val="left"/>
        <w:rPr>
          <w:sz w:val="24"/>
        </w:rPr>
      </w:pPr>
      <w:r>
        <w:rPr>
          <w:rFonts w:hint="eastAsia"/>
          <w:sz w:val="24"/>
        </w:rPr>
        <w:t>⑹吊顶面层板材拼接也应平整，在拼接处面板边缘如无构造接口，应事先刨去</w:t>
      </w:r>
      <w:r>
        <w:rPr>
          <w:sz w:val="24"/>
        </w:rPr>
        <w:t xml:space="preserve">2mm </w:t>
      </w:r>
      <w:r>
        <w:rPr>
          <w:rFonts w:hint="eastAsia"/>
          <w:sz w:val="24"/>
        </w:rPr>
        <w:t>左右，以便接缝处粘贴胶带纸</w:t>
      </w:r>
      <w:r>
        <w:rPr>
          <w:sz w:val="24"/>
        </w:rPr>
        <w:t>(</w:t>
      </w:r>
      <w:r>
        <w:rPr>
          <w:rFonts w:hint="eastAsia"/>
          <w:sz w:val="24"/>
        </w:rPr>
        <w:t>布</w:t>
      </w:r>
      <w:r>
        <w:rPr>
          <w:sz w:val="24"/>
        </w:rPr>
        <w:t>)</w:t>
      </w:r>
      <w:r>
        <w:rPr>
          <w:rFonts w:hint="eastAsia"/>
          <w:sz w:val="24"/>
        </w:rPr>
        <w:t>后使接口与大面相平。</w:t>
      </w:r>
    </w:p>
    <w:p>
      <w:pPr>
        <w:autoSpaceDE w:val="0"/>
        <w:autoSpaceDN w:val="0"/>
        <w:adjustRightInd w:val="0"/>
        <w:spacing w:line="360" w:lineRule="auto"/>
        <w:ind w:firstLine="480" w:firstLineChars="200"/>
        <w:jc w:val="left"/>
        <w:rPr>
          <w:sz w:val="24"/>
        </w:rPr>
      </w:pPr>
      <w:r>
        <w:rPr>
          <w:rFonts w:hint="eastAsia"/>
          <w:sz w:val="24"/>
        </w:rPr>
        <w:t>⑺批刮腻子须平整，拼接缝处更应精心批刮密实、平整，打砂皮一定要到位，可将砂皮钉在木蟹上作均匀打磨，以确保其平整，消除接槎。</w:t>
      </w:r>
    </w:p>
    <w:p>
      <w:pPr>
        <w:autoSpaceDE w:val="0"/>
        <w:autoSpaceDN w:val="0"/>
        <w:adjustRightInd w:val="0"/>
        <w:spacing w:line="360" w:lineRule="auto"/>
        <w:ind w:firstLine="480" w:firstLineChars="200"/>
        <w:jc w:val="left"/>
        <w:rPr>
          <w:sz w:val="24"/>
        </w:rPr>
      </w:pPr>
      <w:r>
        <w:rPr>
          <w:rFonts w:hint="eastAsia"/>
          <w:sz w:val="24"/>
        </w:rPr>
        <w:t>⑻湿度较大的空间不得用吸水率较大的石膏板等作面板；</w:t>
      </w:r>
      <w:r>
        <w:rPr>
          <w:sz w:val="24"/>
        </w:rPr>
        <w:t xml:space="preserve">FC </w:t>
      </w:r>
      <w:r>
        <w:rPr>
          <w:rFonts w:hint="eastAsia"/>
          <w:sz w:val="24"/>
        </w:rPr>
        <w:t>板等材料应经收缩相对稳定后方能使用。</w:t>
      </w:r>
    </w:p>
    <w:p>
      <w:pPr>
        <w:autoSpaceDE w:val="0"/>
        <w:autoSpaceDN w:val="0"/>
        <w:adjustRightInd w:val="0"/>
        <w:spacing w:line="360" w:lineRule="auto"/>
        <w:ind w:firstLine="480" w:firstLineChars="200"/>
        <w:jc w:val="left"/>
        <w:rPr>
          <w:sz w:val="24"/>
        </w:rPr>
      </w:pPr>
      <w:r>
        <w:rPr>
          <w:rFonts w:hint="eastAsia"/>
          <w:sz w:val="24"/>
        </w:rPr>
        <w:t>⑼使用纸面石膏板时，自功螺钉与板边或板端的距离不得小于</w:t>
      </w:r>
      <w:r>
        <w:rPr>
          <w:sz w:val="24"/>
        </w:rPr>
        <w:t>10mm</w:t>
      </w:r>
      <w:r>
        <w:rPr>
          <w:rFonts w:hint="eastAsia"/>
          <w:sz w:val="24"/>
        </w:rPr>
        <w:t>，也不宜大于</w:t>
      </w:r>
      <w:r>
        <w:rPr>
          <w:sz w:val="24"/>
        </w:rPr>
        <w:t>16mm</w:t>
      </w:r>
      <w:r>
        <w:rPr>
          <w:rFonts w:hint="eastAsia"/>
          <w:sz w:val="24"/>
        </w:rPr>
        <w:t>；板中螺钉的间距不得大于</w:t>
      </w:r>
      <w:r>
        <w:rPr>
          <w:sz w:val="24"/>
        </w:rPr>
        <w:t>200mm</w:t>
      </w:r>
      <w:r>
        <w:rPr>
          <w:rFonts w:hint="eastAsia"/>
          <w:sz w:val="24"/>
        </w:rPr>
        <w:t>。</w:t>
      </w:r>
    </w:p>
    <w:p>
      <w:pPr>
        <w:autoSpaceDE w:val="0"/>
        <w:autoSpaceDN w:val="0"/>
        <w:adjustRightInd w:val="0"/>
        <w:spacing w:line="360" w:lineRule="auto"/>
        <w:ind w:firstLine="480" w:firstLineChars="200"/>
        <w:jc w:val="left"/>
        <w:rPr>
          <w:sz w:val="24"/>
        </w:rPr>
      </w:pPr>
      <w:r>
        <w:rPr>
          <w:rFonts w:hint="eastAsia"/>
          <w:sz w:val="24"/>
        </w:rPr>
        <w:t>⑽整体紧缝平顶其板材拼缝处要统一留缝</w:t>
      </w:r>
      <w:r>
        <w:rPr>
          <w:sz w:val="24"/>
        </w:rPr>
        <w:t xml:space="preserve">2mm </w:t>
      </w:r>
      <w:r>
        <w:rPr>
          <w:rFonts w:hint="eastAsia"/>
          <w:sz w:val="24"/>
        </w:rPr>
        <w:t>左右，宜用弹性腻子批嵌，也可用</w:t>
      </w:r>
      <w:r>
        <w:rPr>
          <w:sz w:val="24"/>
        </w:rPr>
        <w:t>10</w:t>
      </w:r>
      <w:r>
        <w:rPr>
          <w:rFonts w:hint="eastAsia"/>
          <w:sz w:val="24"/>
        </w:rPr>
        <w:t>8胶或木工白胶拌白水泥掺入适量石膏粉作腻子批嵌拼缝至密实，并外贴拉结带纸或布条</w:t>
      </w:r>
      <w:r>
        <w:rPr>
          <w:sz w:val="24"/>
        </w:rPr>
        <w:t>1</w:t>
      </w:r>
      <w:r>
        <w:rPr>
          <w:rFonts w:hint="eastAsia"/>
          <w:sz w:val="24"/>
        </w:rPr>
        <w:t>～</w:t>
      </w:r>
      <w:r>
        <w:rPr>
          <w:sz w:val="24"/>
        </w:rPr>
        <w:t xml:space="preserve">2 </w:t>
      </w:r>
      <w:r>
        <w:rPr>
          <w:rFonts w:hint="eastAsia"/>
          <w:sz w:val="24"/>
        </w:rPr>
        <w:t>层，拉结带宜用的确良布或编织网带，然后批平顶大面。</w:t>
      </w:r>
    </w:p>
    <w:p>
      <w:pPr>
        <w:spacing w:line="360" w:lineRule="auto"/>
        <w:ind w:firstLine="360" w:firstLineChars="150"/>
        <w:jc w:val="left"/>
        <w:rPr>
          <w:sz w:val="24"/>
        </w:rPr>
      </w:pPr>
      <w:r>
        <w:rPr>
          <w:rFonts w:hint="eastAsia"/>
          <w:sz w:val="24"/>
        </w:rPr>
        <w:t>(11) 工程质量允许偏差：（用2m靠尺和锲形塞形塞尺检查）石膏板：表面平整3mm,立面垂直3mm,接缝高低1mm。胶合板：表面平整2mm,立面垂直3mm,接缝高低0.5mm。</w:t>
      </w:r>
    </w:p>
    <w:p>
      <w:pPr>
        <w:pStyle w:val="21"/>
        <w:adjustRightInd w:val="0"/>
        <w:snapToGrid w:val="0"/>
        <w:spacing w:line="360" w:lineRule="auto"/>
        <w:ind w:firstLine="482" w:firstLineChars="200"/>
        <w:rPr>
          <w:rFonts w:ascii="Calibri" w:hAnsi="Calibri"/>
          <w:b/>
          <w:kern w:val="2"/>
          <w:sz w:val="24"/>
          <w:szCs w:val="22"/>
        </w:rPr>
      </w:pPr>
      <w:r>
        <w:rPr>
          <w:rFonts w:hint="eastAsia" w:ascii="Calibri" w:hAnsi="Calibri"/>
          <w:b/>
          <w:kern w:val="2"/>
          <w:sz w:val="24"/>
          <w:szCs w:val="22"/>
        </w:rPr>
        <w:t xml:space="preserve">六、涂饰工程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l、涂料饰面工程施工前作业条件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(1)涂饰工程应在抹灰工程、地面工程、木装饰工程、门窗工程、水、电气安装工程等全部完成后，并在清洁干净的环境下施工。</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(2)基体表面干燥，平整，干净无油污、无浮尘。混凝土或抹灰基层含水率不得大于lO％，木材基层的含水率不得大于12％。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(3)晴天、无风、气温应在摄氏零上5～35℃之间。冬季应有采暖保温、防冻措施。</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(4)材料计划拟定，工具齐备，先期材料充足。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(5)设备调试正常完好．辅助工具己各。仓储地点落实。</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(6)制度基本健全，有关人员配置到位到岗。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(7)样板、设计要求已得到有关部门确认。</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(8)不涂饰的部位已作好保护措施。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2、涂料材料要求应符合设计要求。材料进场时应有产品合格证书，性能检测报告及进场验收记录，对进场涂料的复试按有关规定进行，并经试验鉴定合格后方可使用。</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3、涂料饰面工程施工要求：</w:t>
      </w:r>
    </w:p>
    <w:p>
      <w:pPr>
        <w:spacing w:line="360" w:lineRule="auto"/>
        <w:ind w:firstLine="480" w:firstLineChars="200"/>
        <w:rPr>
          <w:sz w:val="24"/>
        </w:rPr>
      </w:pPr>
      <w:r>
        <w:rPr>
          <w:rFonts w:hint="eastAsia"/>
          <w:sz w:val="24"/>
        </w:rPr>
        <w:t>（1</w:t>
      </w:r>
      <w:r>
        <w:rPr>
          <w:sz w:val="24"/>
        </w:rPr>
        <w:t>）</w:t>
      </w:r>
      <w:r>
        <w:rPr>
          <w:rFonts w:hint="eastAsia"/>
          <w:sz w:val="24"/>
        </w:rPr>
        <w:t>基层处理：混凝土墙表面的浮砂、灰尘、疙瘩等要清除干净，表面的隔离剂、油污等应用碱水（火碱∶水=1∶10）清刷干净，然后用清水冲洗掉墙面上的碱液等。</w:t>
      </w:r>
    </w:p>
    <w:p>
      <w:pPr>
        <w:spacing w:line="360" w:lineRule="auto"/>
        <w:ind w:firstLine="480" w:firstLineChars="200"/>
        <w:rPr>
          <w:sz w:val="24"/>
        </w:rPr>
      </w:pPr>
      <w:r>
        <w:rPr>
          <w:rFonts w:hint="eastAsia"/>
          <w:sz w:val="24"/>
        </w:rPr>
        <w:t>(2)喷、刷胶水：刮腻子之前在混凝土墙面上先喷、刷一道胶水（重量比为水∶乳液=5∶1），要注意喷、刷要均匀，不得有遗漏。</w:t>
      </w:r>
    </w:p>
    <w:p>
      <w:pPr>
        <w:spacing w:line="360" w:lineRule="auto"/>
        <w:ind w:firstLine="480" w:firstLineChars="200"/>
        <w:rPr>
          <w:sz w:val="24"/>
        </w:rPr>
      </w:pPr>
      <w:r>
        <w:rPr>
          <w:rFonts w:hint="eastAsia"/>
          <w:sz w:val="24"/>
        </w:rPr>
        <w:t>(3)填补缝隙、局部刮腻子，用水石膏将墙面缝隙及坑洼不平处分遍找平，并将野腻子收净，待腻子干燥后用1号砂纸磨平，并把浮尘等扫净。</w:t>
      </w:r>
    </w:p>
    <w:p>
      <w:pPr>
        <w:spacing w:line="360" w:lineRule="auto"/>
        <w:ind w:firstLine="480" w:firstLineChars="200"/>
        <w:rPr>
          <w:sz w:val="24"/>
        </w:rPr>
      </w:pPr>
      <w:r>
        <w:rPr>
          <w:rFonts w:hint="eastAsia"/>
          <w:sz w:val="24"/>
        </w:rPr>
        <w:t>(4)满刮腻子：根据墙体基层的不同和浆活等级要求的不同，刮腻子的遍数为三遍，腻子的配合比为重量比其配合比为：聚醋酸乙烯乳液（即白乳胶）∶滑石粉或大白粉∶2%羧甲基纤维素溶液=1∶5∶3.5</w:t>
      </w:r>
    </w:p>
    <w:p>
      <w:pPr>
        <w:spacing w:line="360" w:lineRule="auto"/>
        <w:ind w:firstLine="480" w:firstLineChars="200"/>
        <w:rPr>
          <w:sz w:val="24"/>
        </w:rPr>
      </w:pPr>
      <w:r>
        <w:rPr>
          <w:rFonts w:hint="eastAsia"/>
          <w:sz w:val="24"/>
        </w:rPr>
        <w:t>(5)刷、喷三遍乳胶漆，前两遍乳胶漆待干透后各用细砂纸打磨一遍。</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4、水性涂料饰面工程施工工艺要点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工艺流程：基层清理—嵌、批腻子—磨砂纸—封底涂料—饰面涂料(喷、滚、刷等)—完工保护—检验合格。</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 xml:space="preserve">5、溶剂型涂料饰面工程施工工艺要点 </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工艺流程：基体清理—嵌、批腻于—磨砂纸—刷底涂料—涂面层涂料等工艺过程。有的工序须往返几次重复。应按产品要求或试验样板的过程操作。</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6、涂料工程施工质量控制要点</w:t>
      </w:r>
    </w:p>
    <w:p>
      <w:pPr>
        <w:autoSpaceDE w:val="0"/>
        <w:autoSpaceDN w:val="0"/>
        <w:adjustRightInd w:val="0"/>
        <w:spacing w:line="360" w:lineRule="auto"/>
        <w:ind w:firstLine="480" w:firstLineChars="200"/>
        <w:jc w:val="left"/>
        <w:rPr>
          <w:sz w:val="24"/>
        </w:rPr>
      </w:pPr>
      <w:r>
        <w:rPr>
          <w:sz w:val="24"/>
        </w:rPr>
        <w:t>(1)</w:t>
      </w:r>
      <w:r>
        <w:rPr>
          <w:rFonts w:hint="eastAsia"/>
          <w:sz w:val="24"/>
        </w:rPr>
        <w:t>要重视漆料、催干剂、稀释剂的选择。一般选用含桐油或树脂适量的调和漆；催干剂、稀释剂的掺人要适当，宜采用含锌的催干剂。</w:t>
      </w:r>
    </w:p>
    <w:p>
      <w:pPr>
        <w:autoSpaceDE w:val="0"/>
        <w:autoSpaceDN w:val="0"/>
        <w:adjustRightInd w:val="0"/>
        <w:spacing w:line="360" w:lineRule="auto"/>
        <w:ind w:firstLine="480" w:firstLineChars="200"/>
        <w:jc w:val="left"/>
        <w:rPr>
          <w:sz w:val="24"/>
        </w:rPr>
      </w:pPr>
      <w:r>
        <w:rPr>
          <w:sz w:val="24"/>
        </w:rPr>
        <w:t>(2)</w:t>
      </w:r>
      <w:r>
        <w:rPr>
          <w:rFonts w:hint="eastAsia"/>
          <w:sz w:val="24"/>
        </w:rPr>
        <w:t>要注意施工环境温度和湿度的变化，高温、日光曝晒或寒冷，以及湿度过大一般不宜涂刷油漆；最好在温度</w:t>
      </w:r>
      <w:r>
        <w:rPr>
          <w:sz w:val="24"/>
        </w:rPr>
        <w:t>15</w:t>
      </w:r>
      <w:r>
        <w:rPr>
          <w:rFonts w:hint="eastAsia"/>
          <w:sz w:val="24"/>
        </w:rPr>
        <w:t>℃～</w:t>
      </w:r>
      <w:r>
        <w:rPr>
          <w:sz w:val="24"/>
        </w:rPr>
        <w:t>25</w:t>
      </w:r>
      <w:r>
        <w:rPr>
          <w:rFonts w:hint="eastAsia"/>
          <w:sz w:val="24"/>
        </w:rPr>
        <w:t>℃，相对湿度</w:t>
      </w:r>
      <w:r>
        <w:rPr>
          <w:sz w:val="24"/>
        </w:rPr>
        <w:t>50</w:t>
      </w:r>
      <w:r>
        <w:rPr>
          <w:rFonts w:hint="eastAsia"/>
          <w:sz w:val="24"/>
        </w:rPr>
        <w:t>％～</w:t>
      </w:r>
      <w:r>
        <w:rPr>
          <w:sz w:val="24"/>
        </w:rPr>
        <w:t>70</w:t>
      </w:r>
      <w:r>
        <w:rPr>
          <w:rFonts w:hint="eastAsia"/>
          <w:sz w:val="24"/>
        </w:rPr>
        <w:t>％条件下施工。</w:t>
      </w:r>
    </w:p>
    <w:p>
      <w:pPr>
        <w:autoSpaceDE w:val="0"/>
        <w:autoSpaceDN w:val="0"/>
        <w:adjustRightInd w:val="0"/>
        <w:spacing w:line="360" w:lineRule="auto"/>
        <w:ind w:firstLine="480" w:firstLineChars="200"/>
        <w:jc w:val="left"/>
        <w:rPr>
          <w:sz w:val="24"/>
        </w:rPr>
      </w:pPr>
      <w:r>
        <w:rPr>
          <w:sz w:val="24"/>
        </w:rPr>
        <w:t>(3)</w:t>
      </w:r>
      <w:r>
        <w:rPr>
          <w:rFonts w:hint="eastAsia"/>
          <w:sz w:val="24"/>
        </w:rPr>
        <w:t>要严格控制每次涂刷油漆的漆膜厚度，一般油漆为</w:t>
      </w:r>
      <w:r>
        <w:rPr>
          <w:sz w:val="24"/>
        </w:rPr>
        <w:t>50</w:t>
      </w:r>
      <w:r>
        <w:rPr>
          <w:rFonts w:hint="eastAsia"/>
          <w:sz w:val="24"/>
        </w:rPr>
        <w:t>～</w:t>
      </w:r>
      <w:r>
        <w:rPr>
          <w:sz w:val="24"/>
        </w:rPr>
        <w:t>70</w:t>
      </w:r>
      <w:r>
        <w:rPr>
          <w:rFonts w:hint="eastAsia"/>
          <w:sz w:val="24"/>
        </w:rPr>
        <w:t>μ</w:t>
      </w:r>
      <w:r>
        <w:rPr>
          <w:sz w:val="24"/>
        </w:rPr>
        <w:t>m</w:t>
      </w:r>
      <w:r>
        <w:rPr>
          <w:rFonts w:hint="eastAsia"/>
          <w:sz w:val="24"/>
        </w:rPr>
        <w:t>，喷涂油漆应比刷漆要薄一些；要避免在长油度漆膜上加涂短油度漆料，或底漆未完全干透的情况下涂刷面漆。</w:t>
      </w:r>
    </w:p>
    <w:p>
      <w:pPr>
        <w:autoSpaceDE w:val="0"/>
        <w:autoSpaceDN w:val="0"/>
        <w:adjustRightInd w:val="0"/>
        <w:spacing w:line="360" w:lineRule="auto"/>
        <w:ind w:firstLine="480" w:firstLineChars="200"/>
        <w:jc w:val="left"/>
        <w:rPr>
          <w:sz w:val="24"/>
        </w:rPr>
      </w:pPr>
      <w:r>
        <w:rPr>
          <w:sz w:val="24"/>
        </w:rPr>
        <w:t>(4)</w:t>
      </w:r>
      <w:r>
        <w:rPr>
          <w:rFonts w:hint="eastAsia"/>
          <w:sz w:val="24"/>
        </w:rPr>
        <w:t>对于粘度较大的漆料，可以适当加入稀释剂；对粘度较大而又不宜稀释的漆料，要选用刷毛短而硬、且弹性好的油刷进行涂刷。</w:t>
      </w:r>
    </w:p>
    <w:p>
      <w:pPr>
        <w:autoSpaceDE w:val="0"/>
        <w:autoSpaceDN w:val="0"/>
        <w:adjustRightInd w:val="0"/>
        <w:spacing w:line="360" w:lineRule="auto"/>
        <w:ind w:firstLine="480" w:firstLineChars="200"/>
        <w:jc w:val="left"/>
        <w:rPr>
          <w:sz w:val="24"/>
        </w:rPr>
      </w:pPr>
      <w:r>
        <w:rPr>
          <w:sz w:val="24"/>
        </w:rPr>
        <w:t>(5)</w:t>
      </w:r>
      <w:r>
        <w:rPr>
          <w:rFonts w:hint="eastAsia"/>
          <w:sz w:val="24"/>
        </w:rPr>
        <w:t>对已产生漆膜皱纹或油漆流坠的现象，应待漆膜完全干燥后，用水砂纸轻轻将皱纹或流坠油漆打磨平整；对皱纹较严重不能磨平的，需在凹陷处刮腻子找平；在油漆流坠面积较大时，应用铲刀铲除干净，修补腻子后打磨平整，然后再分别满刷一遍面漆。</w:t>
      </w:r>
    </w:p>
    <w:p>
      <w:pPr>
        <w:autoSpaceDE w:val="0"/>
        <w:autoSpaceDN w:val="0"/>
        <w:adjustRightInd w:val="0"/>
        <w:spacing w:line="360" w:lineRule="auto"/>
        <w:ind w:firstLine="480" w:firstLineChars="200"/>
        <w:jc w:val="left"/>
        <w:rPr>
          <w:sz w:val="24"/>
        </w:rPr>
      </w:pPr>
      <w:r>
        <w:rPr>
          <w:sz w:val="24"/>
        </w:rPr>
        <w:t>(</w:t>
      </w:r>
      <w:r>
        <w:rPr>
          <w:rFonts w:hint="eastAsia"/>
          <w:sz w:val="24"/>
        </w:rPr>
        <w:t>6</w:t>
      </w:r>
      <w:r>
        <w:rPr>
          <w:sz w:val="24"/>
        </w:rPr>
        <w:t>)</w:t>
      </w:r>
      <w:r>
        <w:rPr>
          <w:rFonts w:hint="eastAsia"/>
          <w:sz w:val="24"/>
        </w:rPr>
        <w:t>涂刷油漆前，物体表面打磨必须到位并光滑，灰尘、砂粒等应清除干净。</w:t>
      </w:r>
    </w:p>
    <w:p>
      <w:pPr>
        <w:autoSpaceDE w:val="0"/>
        <w:autoSpaceDN w:val="0"/>
        <w:adjustRightInd w:val="0"/>
        <w:spacing w:line="360" w:lineRule="auto"/>
        <w:ind w:firstLine="480" w:firstLineChars="200"/>
        <w:jc w:val="left"/>
        <w:rPr>
          <w:sz w:val="24"/>
        </w:rPr>
      </w:pPr>
      <w:r>
        <w:rPr>
          <w:sz w:val="24"/>
        </w:rPr>
        <w:t>(</w:t>
      </w:r>
      <w:r>
        <w:rPr>
          <w:rFonts w:hint="eastAsia"/>
          <w:sz w:val="24"/>
        </w:rPr>
        <w:t>7</w:t>
      </w:r>
      <w:r>
        <w:rPr>
          <w:sz w:val="24"/>
        </w:rPr>
        <w:t>)</w:t>
      </w:r>
      <w:r>
        <w:rPr>
          <w:rFonts w:hint="eastAsia"/>
          <w:sz w:val="24"/>
        </w:rPr>
        <w:t>要选用优良的漆料；调制搅拌应均匀，并过筛将混入的杂物滤净；严禁将两种以上不同型号、性能的漆料混合使用。</w:t>
      </w:r>
    </w:p>
    <w:p>
      <w:pPr>
        <w:pStyle w:val="21"/>
        <w:adjustRightInd w:val="0"/>
        <w:snapToGrid w:val="0"/>
        <w:spacing w:line="360" w:lineRule="auto"/>
        <w:ind w:firstLine="480" w:firstLineChars="200"/>
        <w:rPr>
          <w:rFonts w:ascii="Calibri" w:hAnsi="Calibri"/>
          <w:kern w:val="2"/>
          <w:sz w:val="24"/>
          <w:szCs w:val="22"/>
        </w:rPr>
      </w:pPr>
      <w:r>
        <w:rPr>
          <w:rFonts w:ascii="Calibri" w:hAnsi="Calibri"/>
          <w:kern w:val="2"/>
          <w:sz w:val="24"/>
          <w:szCs w:val="22"/>
        </w:rPr>
        <w:t>(</w:t>
      </w:r>
      <w:r>
        <w:rPr>
          <w:rFonts w:hint="eastAsia" w:ascii="Calibri" w:hAnsi="Calibri"/>
          <w:kern w:val="2"/>
          <w:sz w:val="24"/>
          <w:szCs w:val="22"/>
        </w:rPr>
        <w:t>8</w:t>
      </w:r>
      <w:r>
        <w:rPr>
          <w:rFonts w:ascii="Calibri" w:hAnsi="Calibri"/>
          <w:kern w:val="2"/>
          <w:sz w:val="24"/>
          <w:szCs w:val="22"/>
        </w:rPr>
        <w:t>)</w:t>
      </w:r>
      <w:r>
        <w:rPr>
          <w:rFonts w:hint="eastAsia" w:ascii="Calibri" w:hAnsi="Calibri"/>
          <w:kern w:val="2"/>
          <w:sz w:val="24"/>
          <w:szCs w:val="22"/>
        </w:rPr>
        <w:t>“漆清水”即浅色的物体本色，应事先做好造材工作，力求材料本身色泽一致；否则只能“漆混水”即深色，同时也要制好腻子使色泽一致。对于高级装饰的油漆，应用水砂纸或砂蜡打磨平整光洁，最后上光蜡或进行抛光，提高漆膜的光滑度与柔和。</w:t>
      </w:r>
    </w:p>
    <w:p>
      <w:pPr>
        <w:autoSpaceDE w:val="0"/>
        <w:autoSpaceDN w:val="0"/>
        <w:adjustRightInd w:val="0"/>
        <w:spacing w:line="360" w:lineRule="auto"/>
        <w:ind w:firstLine="480" w:firstLineChars="200"/>
        <w:jc w:val="left"/>
        <w:rPr>
          <w:sz w:val="24"/>
        </w:rPr>
      </w:pPr>
      <w:r>
        <w:rPr>
          <w:sz w:val="24"/>
        </w:rPr>
        <w:t>(</w:t>
      </w:r>
      <w:r>
        <w:rPr>
          <w:rFonts w:hint="eastAsia"/>
          <w:sz w:val="24"/>
        </w:rPr>
        <w:t>9</w:t>
      </w:r>
      <w:r>
        <w:rPr>
          <w:sz w:val="24"/>
        </w:rPr>
        <w:t>)</w:t>
      </w:r>
      <w:r>
        <w:rPr>
          <w:rFonts w:hint="eastAsia"/>
          <w:sz w:val="24"/>
        </w:rPr>
        <w:t>遇基层材料差异较大的装饰面，其底层特别要清理干净，批刮腻子厚度要适中；须先做一块样板，力求涂料涂层均匀。</w:t>
      </w:r>
    </w:p>
    <w:p>
      <w:pPr>
        <w:autoSpaceDE w:val="0"/>
        <w:autoSpaceDN w:val="0"/>
        <w:adjustRightInd w:val="0"/>
        <w:spacing w:line="360" w:lineRule="auto"/>
        <w:ind w:firstLine="480" w:firstLineChars="200"/>
        <w:jc w:val="left"/>
        <w:rPr>
          <w:sz w:val="24"/>
        </w:rPr>
      </w:pPr>
      <w:r>
        <w:rPr>
          <w:sz w:val="24"/>
        </w:rPr>
        <w:t>(</w:t>
      </w:r>
      <w:r>
        <w:rPr>
          <w:rFonts w:hint="eastAsia"/>
          <w:sz w:val="24"/>
        </w:rPr>
        <w:t>10</w:t>
      </w:r>
      <w:r>
        <w:rPr>
          <w:sz w:val="24"/>
        </w:rPr>
        <w:t>)</w:t>
      </w:r>
      <w:r>
        <w:rPr>
          <w:rFonts w:hint="eastAsia"/>
          <w:sz w:val="24"/>
        </w:rPr>
        <w:t>使用涂料时须搅拌均匀，涂料稠度要适中；涂料加水应严格按出厂说明书要求，不得任意加水稀释。</w:t>
      </w:r>
    </w:p>
    <w:p>
      <w:pPr>
        <w:pStyle w:val="21"/>
        <w:adjustRightInd w:val="0"/>
        <w:snapToGrid w:val="0"/>
        <w:spacing w:line="360" w:lineRule="auto"/>
        <w:ind w:firstLine="480" w:firstLineChars="200"/>
        <w:rPr>
          <w:rFonts w:ascii="Calibri" w:hAnsi="Calibri"/>
          <w:kern w:val="2"/>
          <w:sz w:val="24"/>
          <w:szCs w:val="22"/>
        </w:rPr>
      </w:pPr>
      <w:r>
        <w:rPr>
          <w:rFonts w:ascii="Calibri" w:hAnsi="Calibri"/>
          <w:kern w:val="2"/>
          <w:sz w:val="24"/>
          <w:szCs w:val="22"/>
        </w:rPr>
        <w:t>(</w:t>
      </w:r>
      <w:r>
        <w:rPr>
          <w:rFonts w:hint="eastAsia" w:ascii="Calibri" w:hAnsi="Calibri"/>
          <w:kern w:val="2"/>
          <w:sz w:val="24"/>
          <w:szCs w:val="22"/>
        </w:rPr>
        <w:t>11</w:t>
      </w:r>
      <w:r>
        <w:rPr>
          <w:rFonts w:ascii="Calibri" w:hAnsi="Calibri"/>
          <w:kern w:val="2"/>
          <w:sz w:val="24"/>
          <w:szCs w:val="22"/>
        </w:rPr>
        <w:t>)</w:t>
      </w:r>
      <w:r>
        <w:rPr>
          <w:rFonts w:hint="eastAsia" w:ascii="Calibri" w:hAnsi="Calibri"/>
          <w:kern w:val="2"/>
          <w:sz w:val="24"/>
          <w:szCs w:val="22"/>
        </w:rPr>
        <w:t>涂料涂层厚度要适中，厚薄一致；毛刷软硬程度应与涂料品种适应；涂刷操作时用力要均匀、顺直，刚中带柔。</w:t>
      </w:r>
    </w:p>
    <w:p>
      <w:pPr>
        <w:autoSpaceDE w:val="0"/>
        <w:autoSpaceDN w:val="0"/>
        <w:adjustRightInd w:val="0"/>
        <w:spacing w:line="360" w:lineRule="auto"/>
        <w:ind w:firstLine="480" w:firstLineChars="200"/>
        <w:jc w:val="left"/>
        <w:rPr>
          <w:sz w:val="24"/>
        </w:rPr>
      </w:pPr>
      <w:r>
        <w:rPr>
          <w:sz w:val="24"/>
        </w:rPr>
        <w:t>(</w:t>
      </w:r>
      <w:r>
        <w:rPr>
          <w:rFonts w:hint="eastAsia"/>
          <w:sz w:val="24"/>
        </w:rPr>
        <w:t>1</w:t>
      </w:r>
      <w:r>
        <w:rPr>
          <w:sz w:val="24"/>
        </w:rPr>
        <w:t>2)</w:t>
      </w:r>
      <w:r>
        <w:rPr>
          <w:rFonts w:hint="eastAsia"/>
          <w:sz w:val="24"/>
        </w:rPr>
        <w:t>涂刷涂料的基层不能潮湿，也不能太光滑或强度太低。</w:t>
      </w:r>
    </w:p>
    <w:p>
      <w:pPr>
        <w:autoSpaceDE w:val="0"/>
        <w:autoSpaceDN w:val="0"/>
        <w:adjustRightInd w:val="0"/>
        <w:spacing w:line="360" w:lineRule="auto"/>
        <w:ind w:firstLine="480" w:firstLineChars="200"/>
        <w:jc w:val="left"/>
        <w:rPr>
          <w:sz w:val="24"/>
        </w:rPr>
      </w:pPr>
      <w:r>
        <w:rPr>
          <w:sz w:val="24"/>
        </w:rPr>
        <w:t>(</w:t>
      </w:r>
      <w:r>
        <w:rPr>
          <w:rFonts w:hint="eastAsia"/>
          <w:sz w:val="24"/>
        </w:rPr>
        <w:t>1</w:t>
      </w:r>
      <w:r>
        <w:rPr>
          <w:sz w:val="24"/>
        </w:rPr>
        <w:t>3)</w:t>
      </w:r>
      <w:r>
        <w:rPr>
          <w:rFonts w:hint="eastAsia"/>
          <w:sz w:val="24"/>
        </w:rPr>
        <w:t>涂料稠度要适中，稀释涂料时，应严格按标准，合理配制。</w:t>
      </w:r>
    </w:p>
    <w:p>
      <w:pPr>
        <w:autoSpaceDE w:val="0"/>
        <w:autoSpaceDN w:val="0"/>
        <w:adjustRightInd w:val="0"/>
        <w:spacing w:line="360" w:lineRule="auto"/>
        <w:ind w:firstLine="480" w:firstLineChars="200"/>
        <w:jc w:val="left"/>
        <w:rPr>
          <w:sz w:val="24"/>
        </w:rPr>
      </w:pPr>
      <w:r>
        <w:rPr>
          <w:sz w:val="24"/>
        </w:rPr>
        <w:t>(</w:t>
      </w:r>
      <w:r>
        <w:rPr>
          <w:rFonts w:hint="eastAsia"/>
          <w:sz w:val="24"/>
        </w:rPr>
        <w:t>1</w:t>
      </w:r>
      <w:r>
        <w:rPr>
          <w:sz w:val="24"/>
        </w:rPr>
        <w:t>4)</w:t>
      </w:r>
      <w:r>
        <w:rPr>
          <w:rFonts w:hint="eastAsia"/>
          <w:sz w:val="24"/>
        </w:rPr>
        <w:t>应严格控制分层涂刷的厚度与间隔时间，间隔时间与气温、基层材料及涂料性能有关，应视实际情况选定。</w:t>
      </w:r>
    </w:p>
    <w:p>
      <w:pPr>
        <w:pStyle w:val="21"/>
        <w:adjustRightInd w:val="0"/>
        <w:snapToGrid w:val="0"/>
        <w:spacing w:line="360" w:lineRule="auto"/>
        <w:ind w:firstLine="482" w:firstLineChars="200"/>
        <w:rPr>
          <w:rFonts w:ascii="Calibri" w:hAnsi="Calibri"/>
          <w:b/>
          <w:kern w:val="2"/>
          <w:sz w:val="24"/>
          <w:szCs w:val="22"/>
        </w:rPr>
      </w:pPr>
      <w:r>
        <w:rPr>
          <w:rFonts w:hint="eastAsia" w:ascii="Calibri" w:hAnsi="Calibri"/>
          <w:b/>
          <w:kern w:val="2"/>
          <w:sz w:val="24"/>
          <w:szCs w:val="22"/>
        </w:rPr>
        <w:t>七、金属加工工程</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不锈钢柱、扶手、铜管的施工技术要求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1、不锈钢选料应经过慎重考虑后决定，主要是板厚要确保装饰表面有足够的刚度，一般用1.2厚，较小尺寸可用1.0mm。</w:t>
      </w:r>
    </w:p>
    <w:p>
      <w:pPr>
        <w:spacing w:line="360" w:lineRule="auto"/>
        <w:ind w:firstLine="480" w:firstLineChars="200"/>
        <w:rPr>
          <w:sz w:val="24"/>
        </w:rPr>
      </w:pPr>
      <w:r>
        <w:rPr>
          <w:rFonts w:hint="eastAsia"/>
          <w:sz w:val="24"/>
        </w:rPr>
        <w:t>2、不锈钢材原厂的保护膜在加工和安装期间不能撕掉。</w:t>
      </w:r>
    </w:p>
    <w:p>
      <w:pPr>
        <w:spacing w:line="360" w:lineRule="auto"/>
        <w:ind w:firstLine="480" w:firstLineChars="200"/>
        <w:rPr>
          <w:sz w:val="24"/>
        </w:rPr>
      </w:pPr>
      <w:r>
        <w:rPr>
          <w:rFonts w:hint="eastAsia"/>
          <w:sz w:val="24"/>
        </w:rPr>
        <w:t>3、安装前一定要先定出纵横轴线、垂直线、控制线、并验证实际加工尺寸。</w:t>
      </w:r>
    </w:p>
    <w:p>
      <w:pPr>
        <w:spacing w:line="360" w:lineRule="auto"/>
        <w:ind w:firstLine="480" w:firstLineChars="200"/>
        <w:rPr>
          <w:sz w:val="24"/>
        </w:rPr>
      </w:pPr>
      <w:r>
        <w:rPr>
          <w:rFonts w:hint="eastAsia"/>
          <w:sz w:val="24"/>
        </w:rPr>
        <w:t>4、安装柱子前必须确认板的尺寸、规格与设计是否相符，确保安装顺利。</w:t>
      </w:r>
    </w:p>
    <w:p>
      <w:pPr>
        <w:spacing w:line="360" w:lineRule="auto"/>
        <w:ind w:firstLine="480" w:firstLineChars="200"/>
        <w:rPr>
          <w:sz w:val="24"/>
        </w:rPr>
      </w:pPr>
      <w:r>
        <w:rPr>
          <w:rFonts w:hint="eastAsia"/>
          <w:sz w:val="24"/>
        </w:rPr>
        <w:t>5、安装时应先进行试安装，如有尺寸不吻合，应送工厂返工或修理。安装时抹胶要均匀，由里向缝口顺序压紧，排胶排气，使板材与底板贴紧，挤出的胶液要立即擦净，不能留有胶痕。</w:t>
      </w:r>
    </w:p>
    <w:p>
      <w:pPr>
        <w:spacing w:line="360" w:lineRule="auto"/>
        <w:ind w:firstLine="480" w:firstLineChars="200"/>
        <w:rPr>
          <w:sz w:val="24"/>
        </w:rPr>
      </w:pPr>
      <w:r>
        <w:rPr>
          <w:rFonts w:hint="eastAsia"/>
          <w:sz w:val="24"/>
        </w:rPr>
        <w:t>6、不锈钢、铜管的转弯接口处凡无法抛光的均不用焊接，但其接口必须相当吻合。</w:t>
      </w:r>
    </w:p>
    <w:p>
      <w:pPr>
        <w:spacing w:line="360" w:lineRule="auto"/>
        <w:ind w:firstLine="480" w:firstLineChars="200"/>
        <w:rPr>
          <w:sz w:val="24"/>
        </w:rPr>
      </w:pPr>
      <w:r>
        <w:rPr>
          <w:rFonts w:hint="eastAsia"/>
          <w:sz w:val="24"/>
        </w:rPr>
        <w:t>焊接采用彩氩焊接、接口处焊接牢固，磨平抛光后不得看出接口。</w:t>
      </w:r>
    </w:p>
    <w:p>
      <w:pPr>
        <w:spacing w:line="360" w:lineRule="auto"/>
        <w:ind w:firstLine="480" w:firstLineChars="200"/>
        <w:rPr>
          <w:sz w:val="24"/>
        </w:rPr>
      </w:pPr>
      <w:r>
        <w:rPr>
          <w:rFonts w:hint="eastAsia"/>
          <w:sz w:val="24"/>
        </w:rPr>
        <w:t>8、完工后一定要做好保护处理。特别要防止硬止撞击使板面形成凹陷。</w:t>
      </w:r>
    </w:p>
    <w:p>
      <w:pPr>
        <w:spacing w:line="360" w:lineRule="auto"/>
        <w:ind w:firstLine="480" w:firstLineChars="200"/>
        <w:jc w:val="left"/>
        <w:rPr>
          <w:sz w:val="24"/>
        </w:rPr>
      </w:pPr>
      <w:r>
        <w:rPr>
          <w:rFonts w:hint="eastAsia"/>
          <w:sz w:val="24"/>
        </w:rPr>
        <w:t>施工接口与转弯接口先做好样品，等设计师验证认可后方能全面施工。</w:t>
      </w:r>
    </w:p>
    <w:p>
      <w:pPr>
        <w:pStyle w:val="21"/>
        <w:spacing w:line="360" w:lineRule="auto"/>
        <w:ind w:firstLine="482" w:firstLineChars="200"/>
        <w:rPr>
          <w:rFonts w:ascii="Calibri" w:hAnsi="Calibri"/>
          <w:b/>
          <w:kern w:val="2"/>
          <w:sz w:val="24"/>
          <w:szCs w:val="22"/>
        </w:rPr>
      </w:pPr>
      <w:r>
        <w:rPr>
          <w:rFonts w:hint="eastAsia" w:ascii="Calibri" w:hAnsi="Calibri"/>
          <w:b/>
          <w:kern w:val="2"/>
          <w:sz w:val="24"/>
          <w:szCs w:val="22"/>
        </w:rPr>
        <w:t>九、装饰材料绿色环保要求</w:t>
      </w:r>
    </w:p>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1、装饰材料安全要求：装饰施工选择的全部装饰材料必须符合国家有关装饰材料的安全要求，并具有国家权威检测机构颁发的绿色环保安全使用证书，并保证工程完工后环境检测权威机构检测各项装饰安全指标达到《民用建筑工程室内环境污染控制规范》GB50325—2001要求，若达不到规范各项指标要求，承包人负责返工并承担全部返工费用及相关检测费用，发包人保留按合同规定索赔的权力。</w:t>
      </w:r>
    </w:p>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2、为了保证本装饰工程的质量，确保工程完工以后室内环境的空气质量符合国家标准要求，要求对石材、木地板、木门、胶合板、胶粘剂、木制品油漆、墙面乳胶漆等材料的原材料、辅助材料在使用前全部要求进行环保检测并提供有效检测报告。要求健康、卫生、安全、环保，最大程度地保证产品出厂时、消费使用过程中无毒、无害（无腐蚀性、无放射性、无生物危害、无有害挥发物）。</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3、装饰材料的环保要求</w:t>
      </w:r>
    </w:p>
    <w:p>
      <w:pPr>
        <w:pStyle w:val="21"/>
        <w:adjustRightInd w:val="0"/>
        <w:snapToGrid w:val="0"/>
        <w:spacing w:line="360" w:lineRule="auto"/>
        <w:ind w:firstLine="480" w:firstLineChars="200"/>
        <w:rPr>
          <w:rFonts w:ascii="Calibri" w:hAnsi="Calibri"/>
          <w:kern w:val="2"/>
          <w:sz w:val="24"/>
          <w:szCs w:val="22"/>
        </w:rPr>
      </w:pPr>
      <w:r>
        <w:rPr>
          <w:rFonts w:hint="eastAsia" w:ascii="Calibri" w:hAnsi="Calibri"/>
          <w:kern w:val="2"/>
          <w:sz w:val="24"/>
          <w:szCs w:val="22"/>
        </w:rPr>
        <w:t>装饰材料必须使用绿色、环保材料；各装修部位的要求如下表：</w:t>
      </w:r>
    </w:p>
    <w:tbl>
      <w:tblPr>
        <w:tblStyle w:val="43"/>
        <w:tblW w:w="877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2"/>
        <w:gridCol w:w="1377"/>
        <w:gridCol w:w="5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9" w:hRule="atLeast"/>
        </w:trPr>
        <w:tc>
          <w:tcPr>
            <w:tcW w:w="1712" w:type="dxa"/>
            <w:vAlign w:val="center"/>
          </w:tcPr>
          <w:p>
            <w:pPr>
              <w:pStyle w:val="21"/>
              <w:adjustRightInd w:val="0"/>
              <w:snapToGrid w:val="0"/>
              <w:jc w:val="center"/>
              <w:rPr>
                <w:rFonts w:hAnsi="宋体"/>
              </w:rPr>
            </w:pPr>
            <w:r>
              <w:rPr>
                <w:rFonts w:hint="eastAsia" w:hAnsi="宋体"/>
              </w:rPr>
              <w:t>材料名称</w:t>
            </w:r>
          </w:p>
        </w:tc>
        <w:tc>
          <w:tcPr>
            <w:tcW w:w="1377" w:type="dxa"/>
            <w:vAlign w:val="center"/>
          </w:tcPr>
          <w:p>
            <w:pPr>
              <w:pStyle w:val="21"/>
              <w:adjustRightInd w:val="0"/>
              <w:snapToGrid w:val="0"/>
              <w:jc w:val="center"/>
              <w:rPr>
                <w:rFonts w:hAnsi="宋体"/>
              </w:rPr>
            </w:pPr>
            <w:r>
              <w:rPr>
                <w:rFonts w:hint="eastAsia" w:hAnsi="宋体"/>
              </w:rPr>
              <w:t>使用部位</w:t>
            </w:r>
          </w:p>
        </w:tc>
        <w:tc>
          <w:tcPr>
            <w:tcW w:w="5685" w:type="dxa"/>
            <w:vAlign w:val="center"/>
          </w:tcPr>
          <w:p>
            <w:pPr>
              <w:pStyle w:val="21"/>
              <w:adjustRightInd w:val="0"/>
              <w:snapToGrid w:val="0"/>
              <w:jc w:val="center"/>
              <w:rPr>
                <w:rFonts w:hAnsi="宋体"/>
              </w:rPr>
            </w:pPr>
            <w:r>
              <w:rPr>
                <w:rFonts w:hint="eastAsia" w:hAnsi="宋体"/>
              </w:rPr>
              <w:t>材料相关检验要求（材料进场后要求进行复验）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3" w:hRule="atLeast"/>
        </w:trPr>
        <w:tc>
          <w:tcPr>
            <w:tcW w:w="1712" w:type="dxa"/>
            <w:vAlign w:val="center"/>
          </w:tcPr>
          <w:p>
            <w:pPr>
              <w:pStyle w:val="21"/>
              <w:adjustRightInd w:val="0"/>
              <w:snapToGrid w:val="0"/>
              <w:jc w:val="center"/>
              <w:rPr>
                <w:rFonts w:hAnsi="宋体"/>
              </w:rPr>
            </w:pPr>
            <w:r>
              <w:rPr>
                <w:rFonts w:hint="eastAsia" w:hAnsi="宋体"/>
              </w:rPr>
              <w:t>木夹板</w:t>
            </w:r>
          </w:p>
        </w:tc>
        <w:tc>
          <w:tcPr>
            <w:tcW w:w="1377" w:type="dxa"/>
            <w:vAlign w:val="center"/>
          </w:tcPr>
          <w:p>
            <w:pPr>
              <w:pStyle w:val="21"/>
              <w:adjustRightInd w:val="0"/>
              <w:snapToGrid w:val="0"/>
              <w:jc w:val="center"/>
              <w:rPr>
                <w:rFonts w:hAnsi="宋体"/>
              </w:rPr>
            </w:pPr>
          </w:p>
        </w:tc>
        <w:tc>
          <w:tcPr>
            <w:tcW w:w="5685" w:type="dxa"/>
            <w:vAlign w:val="center"/>
          </w:tcPr>
          <w:p>
            <w:pPr>
              <w:pStyle w:val="21"/>
              <w:adjustRightInd w:val="0"/>
              <w:snapToGrid w:val="0"/>
              <w:rPr>
                <w:rFonts w:hAnsi="宋体"/>
              </w:rPr>
            </w:pPr>
            <w:r>
              <w:rPr>
                <w:rFonts w:hint="eastAsia" w:hAnsi="宋体"/>
              </w:rPr>
              <w:t>人造板及其制品中甲醛释放限量符合国家标准GB-18580-2001的要求。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2" w:hRule="atLeast"/>
        </w:trPr>
        <w:tc>
          <w:tcPr>
            <w:tcW w:w="1712" w:type="dxa"/>
            <w:vAlign w:val="center"/>
          </w:tcPr>
          <w:p>
            <w:pPr>
              <w:pStyle w:val="21"/>
              <w:adjustRightInd w:val="0"/>
              <w:snapToGrid w:val="0"/>
              <w:jc w:val="center"/>
              <w:rPr>
                <w:rFonts w:hAnsi="宋体"/>
              </w:rPr>
            </w:pPr>
            <w:r>
              <w:rPr>
                <w:rFonts w:hint="eastAsia" w:hAnsi="宋体"/>
              </w:rPr>
              <w:t>胶粘剂</w:t>
            </w:r>
          </w:p>
        </w:tc>
        <w:tc>
          <w:tcPr>
            <w:tcW w:w="1377" w:type="dxa"/>
            <w:vAlign w:val="center"/>
          </w:tcPr>
          <w:p>
            <w:pPr>
              <w:pStyle w:val="21"/>
              <w:adjustRightInd w:val="0"/>
              <w:snapToGrid w:val="0"/>
              <w:rPr>
                <w:rFonts w:hAnsi="宋体"/>
              </w:rPr>
            </w:pPr>
            <w:r>
              <w:rPr>
                <w:rFonts w:hint="eastAsia" w:hAnsi="宋体"/>
              </w:rPr>
              <w:t>木器制作、腻子胶</w:t>
            </w:r>
          </w:p>
        </w:tc>
        <w:tc>
          <w:tcPr>
            <w:tcW w:w="5685" w:type="dxa"/>
            <w:vAlign w:val="center"/>
          </w:tcPr>
          <w:p>
            <w:pPr>
              <w:pStyle w:val="21"/>
              <w:adjustRightInd w:val="0"/>
              <w:snapToGrid w:val="0"/>
              <w:rPr>
                <w:rFonts w:hAnsi="宋体"/>
              </w:rPr>
            </w:pPr>
            <w:r>
              <w:rPr>
                <w:rFonts w:hint="eastAsia" w:hAnsi="宋体"/>
              </w:rPr>
              <w:t>有害物质限量应符合国标GB-18583-2001的要求。</w:t>
            </w:r>
          </w:p>
          <w:p>
            <w:pPr>
              <w:pStyle w:val="21"/>
              <w:adjustRightInd w:val="0"/>
              <w:snapToGrid w:val="0"/>
              <w:rPr>
                <w:rFonts w:hAnsi="宋体"/>
              </w:rPr>
            </w:pPr>
            <w:r>
              <w:rPr>
                <w:rFonts w:hint="eastAsia" w:hAnsi="宋体"/>
              </w:rPr>
              <w:t>检测项目：1.甲醛；2.苯；3.甲苯及二甲苯；4.甲苯二异氰酸酯；5.总挥发性有机物。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3" w:hRule="atLeast"/>
        </w:trPr>
        <w:tc>
          <w:tcPr>
            <w:tcW w:w="1712" w:type="dxa"/>
            <w:vAlign w:val="center"/>
          </w:tcPr>
          <w:p>
            <w:pPr>
              <w:pStyle w:val="21"/>
              <w:adjustRightInd w:val="0"/>
              <w:snapToGrid w:val="0"/>
              <w:jc w:val="center"/>
              <w:rPr>
                <w:rFonts w:hAnsi="宋体"/>
              </w:rPr>
            </w:pPr>
            <w:r>
              <w:rPr>
                <w:rFonts w:hint="eastAsia" w:hAnsi="宋体"/>
              </w:rPr>
              <w:t>内墙涂料</w:t>
            </w:r>
          </w:p>
          <w:p>
            <w:pPr>
              <w:pStyle w:val="21"/>
              <w:adjustRightInd w:val="0"/>
              <w:snapToGrid w:val="0"/>
              <w:jc w:val="center"/>
              <w:rPr>
                <w:rFonts w:hAnsi="宋体"/>
              </w:rPr>
            </w:pPr>
            <w:r>
              <w:rPr>
                <w:rFonts w:hint="eastAsia" w:hAnsi="宋体"/>
              </w:rPr>
              <w:t>木制品油漆</w:t>
            </w:r>
          </w:p>
        </w:tc>
        <w:tc>
          <w:tcPr>
            <w:tcW w:w="1377" w:type="dxa"/>
            <w:vAlign w:val="center"/>
          </w:tcPr>
          <w:p>
            <w:pPr>
              <w:pStyle w:val="21"/>
              <w:adjustRightInd w:val="0"/>
              <w:snapToGrid w:val="0"/>
              <w:jc w:val="center"/>
              <w:rPr>
                <w:rFonts w:hAnsi="宋体"/>
              </w:rPr>
            </w:pPr>
            <w:r>
              <w:rPr>
                <w:rFonts w:hint="eastAsia" w:hAnsi="宋体"/>
              </w:rPr>
              <w:t>墙面</w:t>
            </w:r>
          </w:p>
        </w:tc>
        <w:tc>
          <w:tcPr>
            <w:tcW w:w="5685" w:type="dxa"/>
            <w:vAlign w:val="center"/>
          </w:tcPr>
          <w:p>
            <w:pPr>
              <w:pStyle w:val="21"/>
              <w:adjustRightInd w:val="0"/>
              <w:snapToGrid w:val="0"/>
              <w:rPr>
                <w:rFonts w:hAnsi="宋体"/>
              </w:rPr>
            </w:pPr>
            <w:r>
              <w:rPr>
                <w:rFonts w:hint="eastAsia" w:hAnsi="宋体"/>
              </w:rPr>
              <w:t>有害物质限量应符合国标GB-18582-2001的要求。</w:t>
            </w:r>
          </w:p>
          <w:p>
            <w:pPr>
              <w:pStyle w:val="21"/>
              <w:adjustRightInd w:val="0"/>
              <w:snapToGrid w:val="0"/>
              <w:rPr>
                <w:rFonts w:hAnsi="宋体"/>
              </w:rPr>
            </w:pPr>
            <w:r>
              <w:rPr>
                <w:rFonts w:hint="eastAsia" w:hAnsi="宋体"/>
              </w:rPr>
              <w:t>检测项目：1.甲醛；2.挥发性有机化合物；3.重金属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9" w:hRule="atLeast"/>
        </w:trPr>
        <w:tc>
          <w:tcPr>
            <w:tcW w:w="1712" w:type="dxa"/>
            <w:vAlign w:val="center"/>
          </w:tcPr>
          <w:p>
            <w:pPr>
              <w:pStyle w:val="21"/>
              <w:adjustRightInd w:val="0"/>
              <w:snapToGrid w:val="0"/>
              <w:jc w:val="center"/>
              <w:rPr>
                <w:rFonts w:hAnsi="宋体"/>
              </w:rPr>
            </w:pPr>
            <w:r>
              <w:rPr>
                <w:rFonts w:hint="eastAsia" w:hAnsi="宋体"/>
              </w:rPr>
              <w:t>金属板、石膏板</w:t>
            </w:r>
          </w:p>
        </w:tc>
        <w:tc>
          <w:tcPr>
            <w:tcW w:w="1377" w:type="dxa"/>
            <w:vAlign w:val="center"/>
          </w:tcPr>
          <w:p>
            <w:pPr>
              <w:pStyle w:val="21"/>
              <w:adjustRightInd w:val="0"/>
              <w:snapToGrid w:val="0"/>
              <w:jc w:val="center"/>
              <w:rPr>
                <w:rFonts w:hAnsi="宋体"/>
              </w:rPr>
            </w:pPr>
            <w:r>
              <w:rPr>
                <w:rFonts w:hint="eastAsia" w:hAnsi="宋体"/>
              </w:rPr>
              <w:t>吊顶</w:t>
            </w:r>
          </w:p>
        </w:tc>
        <w:tc>
          <w:tcPr>
            <w:tcW w:w="5685" w:type="dxa"/>
            <w:vMerge w:val="restart"/>
            <w:vAlign w:val="center"/>
          </w:tcPr>
          <w:p>
            <w:pPr>
              <w:pStyle w:val="21"/>
              <w:adjustRightInd w:val="0"/>
              <w:snapToGrid w:val="0"/>
              <w:rPr>
                <w:rFonts w:hAnsi="宋体"/>
              </w:rPr>
            </w:pPr>
            <w:r>
              <w:rPr>
                <w:rFonts w:hint="eastAsia" w:hAnsi="宋体"/>
              </w:rPr>
              <w:t>各材料放射性核素限量应符合国标GB-6566-2001的要求。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54" w:hRule="atLeast"/>
        </w:trPr>
        <w:tc>
          <w:tcPr>
            <w:tcW w:w="1712" w:type="dxa"/>
            <w:vAlign w:val="center"/>
          </w:tcPr>
          <w:p>
            <w:pPr>
              <w:pStyle w:val="21"/>
              <w:adjustRightInd w:val="0"/>
              <w:snapToGrid w:val="0"/>
              <w:jc w:val="center"/>
              <w:rPr>
                <w:rFonts w:hAnsi="宋体"/>
              </w:rPr>
            </w:pPr>
            <w:r>
              <w:rPr>
                <w:rFonts w:hint="eastAsia" w:hAnsi="宋体"/>
              </w:rPr>
              <w:t>分隔墙</w:t>
            </w:r>
          </w:p>
        </w:tc>
        <w:tc>
          <w:tcPr>
            <w:tcW w:w="1377" w:type="dxa"/>
            <w:vAlign w:val="center"/>
          </w:tcPr>
          <w:p>
            <w:pPr>
              <w:pStyle w:val="21"/>
              <w:adjustRightInd w:val="0"/>
              <w:snapToGrid w:val="0"/>
              <w:jc w:val="center"/>
              <w:rPr>
                <w:rFonts w:hAnsi="宋体"/>
              </w:rPr>
            </w:pPr>
          </w:p>
        </w:tc>
        <w:tc>
          <w:tcPr>
            <w:tcW w:w="5685" w:type="dxa"/>
            <w:vMerge w:val="continue"/>
            <w:vAlign w:val="center"/>
          </w:tcPr>
          <w:p>
            <w:pPr>
              <w:pStyle w:val="21"/>
              <w:adjustRightInd w:val="0"/>
              <w:snapToGrid w:val="0"/>
              <w:rPr>
                <w:rFonts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54" w:hRule="atLeast"/>
        </w:trPr>
        <w:tc>
          <w:tcPr>
            <w:tcW w:w="1712" w:type="dxa"/>
            <w:vAlign w:val="center"/>
          </w:tcPr>
          <w:p>
            <w:pPr>
              <w:pStyle w:val="21"/>
              <w:adjustRightInd w:val="0"/>
              <w:snapToGrid w:val="0"/>
              <w:jc w:val="center"/>
              <w:rPr>
                <w:rFonts w:hAnsi="宋体"/>
              </w:rPr>
            </w:pPr>
            <w:r>
              <w:rPr>
                <w:rFonts w:hint="eastAsia" w:hAnsi="宋体"/>
              </w:rPr>
              <w:t>石材</w:t>
            </w:r>
          </w:p>
        </w:tc>
        <w:tc>
          <w:tcPr>
            <w:tcW w:w="1377" w:type="dxa"/>
            <w:vAlign w:val="center"/>
          </w:tcPr>
          <w:p>
            <w:pPr>
              <w:pStyle w:val="21"/>
              <w:adjustRightInd w:val="0"/>
              <w:snapToGrid w:val="0"/>
              <w:jc w:val="center"/>
              <w:rPr>
                <w:rFonts w:hAnsi="宋体"/>
              </w:rPr>
            </w:pPr>
            <w:r>
              <w:rPr>
                <w:rFonts w:hint="eastAsia" w:hAnsi="宋体"/>
              </w:rPr>
              <w:t>墙面、地面</w:t>
            </w:r>
          </w:p>
        </w:tc>
        <w:tc>
          <w:tcPr>
            <w:tcW w:w="5685" w:type="dxa"/>
            <w:vMerge w:val="continue"/>
            <w:vAlign w:val="center"/>
          </w:tcPr>
          <w:p>
            <w:pPr>
              <w:pStyle w:val="21"/>
              <w:adjustRightInd w:val="0"/>
              <w:snapToGrid w:val="0"/>
              <w:rPr>
                <w:rFonts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2" w:hRule="atLeast"/>
        </w:trPr>
        <w:tc>
          <w:tcPr>
            <w:tcW w:w="1712" w:type="dxa"/>
            <w:vAlign w:val="center"/>
          </w:tcPr>
          <w:p>
            <w:pPr>
              <w:pStyle w:val="21"/>
              <w:adjustRightInd w:val="0"/>
              <w:snapToGrid w:val="0"/>
              <w:jc w:val="center"/>
              <w:rPr>
                <w:rFonts w:hAnsi="宋体"/>
              </w:rPr>
            </w:pPr>
            <w:r>
              <w:rPr>
                <w:rFonts w:hint="eastAsia" w:hAnsi="宋体"/>
              </w:rPr>
              <w:t>室内环境</w:t>
            </w:r>
          </w:p>
        </w:tc>
        <w:tc>
          <w:tcPr>
            <w:tcW w:w="1377" w:type="dxa"/>
            <w:vAlign w:val="center"/>
          </w:tcPr>
          <w:p>
            <w:pPr>
              <w:pStyle w:val="21"/>
              <w:adjustRightInd w:val="0"/>
              <w:snapToGrid w:val="0"/>
              <w:jc w:val="center"/>
              <w:rPr>
                <w:rFonts w:hAnsi="宋体"/>
              </w:rPr>
            </w:pPr>
            <w:r>
              <w:rPr>
                <w:rFonts w:hint="eastAsia" w:hAnsi="宋体"/>
              </w:rPr>
              <w:t>室内空间</w:t>
            </w:r>
          </w:p>
        </w:tc>
        <w:tc>
          <w:tcPr>
            <w:tcW w:w="5685" w:type="dxa"/>
            <w:vAlign w:val="center"/>
          </w:tcPr>
          <w:p>
            <w:pPr>
              <w:pStyle w:val="21"/>
              <w:adjustRightInd w:val="0"/>
              <w:snapToGrid w:val="0"/>
              <w:rPr>
                <w:rFonts w:hAnsi="宋体"/>
              </w:rPr>
            </w:pPr>
            <w:r>
              <w:rPr>
                <w:rFonts w:hint="eastAsia" w:hAnsi="宋体"/>
              </w:rPr>
              <w:t>室内环境检测应符合国标GB-50325-2001的要求。</w:t>
            </w:r>
          </w:p>
          <w:p>
            <w:pPr>
              <w:pStyle w:val="21"/>
              <w:adjustRightInd w:val="0"/>
              <w:snapToGrid w:val="0"/>
              <w:rPr>
                <w:rFonts w:hAnsi="宋体"/>
              </w:rPr>
            </w:pPr>
            <w:r>
              <w:rPr>
                <w:rFonts w:hint="eastAsia" w:hAnsi="宋体"/>
              </w:rPr>
              <w:t>检测项目：1.氡（RN-222）；2. 甲醛；3.氨；4.苯；5.总挥发性有机物（TVOC）。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9" w:hRule="atLeast"/>
        </w:trPr>
        <w:tc>
          <w:tcPr>
            <w:tcW w:w="1712" w:type="dxa"/>
            <w:vAlign w:val="center"/>
          </w:tcPr>
          <w:p>
            <w:pPr>
              <w:pStyle w:val="21"/>
              <w:adjustRightInd w:val="0"/>
              <w:snapToGrid w:val="0"/>
              <w:jc w:val="center"/>
              <w:rPr>
                <w:rFonts w:hAnsi="宋体"/>
              </w:rPr>
            </w:pPr>
            <w:r>
              <w:rPr>
                <w:rFonts w:hint="eastAsia" w:hAnsi="宋体"/>
              </w:rPr>
              <w:t>防水材料</w:t>
            </w:r>
          </w:p>
        </w:tc>
        <w:tc>
          <w:tcPr>
            <w:tcW w:w="1377" w:type="dxa"/>
            <w:vAlign w:val="center"/>
          </w:tcPr>
          <w:p>
            <w:pPr>
              <w:pStyle w:val="21"/>
              <w:adjustRightInd w:val="0"/>
              <w:snapToGrid w:val="0"/>
              <w:jc w:val="center"/>
              <w:rPr>
                <w:rFonts w:hAnsi="宋体"/>
              </w:rPr>
            </w:pPr>
          </w:p>
        </w:tc>
        <w:tc>
          <w:tcPr>
            <w:tcW w:w="5685" w:type="dxa"/>
            <w:vAlign w:val="center"/>
          </w:tcPr>
          <w:p>
            <w:pPr>
              <w:pStyle w:val="21"/>
              <w:adjustRightInd w:val="0"/>
              <w:snapToGrid w:val="0"/>
              <w:rPr>
                <w:rFonts w:hAnsi="宋体"/>
              </w:rPr>
            </w:pPr>
            <w:r>
              <w:rPr>
                <w:rFonts w:hint="eastAsia" w:hAnsi="宋体"/>
              </w:rPr>
              <w:t>应进行常规建筑材料检验并符合相关要求。</w:t>
            </w:r>
          </w:p>
        </w:tc>
      </w:tr>
    </w:tbl>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4、竣工检测</w:t>
      </w:r>
    </w:p>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1）本工程完工以后，按中华人民共和国《民用建筑工程室内环境污染控制规范》GB50325-2001进行检测。</w:t>
      </w:r>
    </w:p>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2）检测项目：</w:t>
      </w:r>
    </w:p>
    <w:p>
      <w:pPr>
        <w:pStyle w:val="21"/>
        <w:spacing w:line="360" w:lineRule="auto"/>
        <w:ind w:firstLine="480" w:firstLineChars="200"/>
        <w:rPr>
          <w:rFonts w:ascii="Calibri" w:hAnsi="Calibri"/>
          <w:kern w:val="2"/>
          <w:sz w:val="24"/>
          <w:szCs w:val="22"/>
        </w:rPr>
      </w:pPr>
      <w:r>
        <w:rPr>
          <w:rFonts w:hint="eastAsia" w:ascii="Calibri" w:hAnsi="Calibri"/>
          <w:kern w:val="2"/>
          <w:sz w:val="24"/>
          <w:szCs w:val="22"/>
        </w:rPr>
        <w:t>氡、甲醛、氨、苯和TVOC等五项。</w:t>
      </w:r>
    </w:p>
    <w:p>
      <w:pPr>
        <w:spacing w:before="360" w:beforeLines="150" w:after="120" w:afterLines="50" w:line="360" w:lineRule="auto"/>
        <w:jc w:val="center"/>
        <w:rPr>
          <w:b/>
          <w:sz w:val="28"/>
          <w:szCs w:val="28"/>
        </w:rPr>
      </w:pPr>
      <w:r>
        <w:rPr>
          <w:rFonts w:hint="eastAsia"/>
          <w:b/>
          <w:sz w:val="28"/>
          <w:szCs w:val="28"/>
        </w:rPr>
        <w:t>第二节  屋面防水工程</w:t>
      </w:r>
    </w:p>
    <w:p>
      <w:pPr>
        <w:spacing w:line="360" w:lineRule="auto"/>
        <w:ind w:firstLine="480" w:firstLineChars="200"/>
        <w:rPr>
          <w:sz w:val="24"/>
        </w:rPr>
      </w:pPr>
      <w:r>
        <w:rPr>
          <w:rFonts w:hint="eastAsia"/>
          <w:sz w:val="24"/>
        </w:rPr>
        <w:t>一、防水设防等级：二级。</w:t>
      </w:r>
    </w:p>
    <w:p>
      <w:pPr>
        <w:spacing w:line="360" w:lineRule="auto"/>
        <w:ind w:left="420"/>
        <w:rPr>
          <w:sz w:val="24"/>
        </w:rPr>
      </w:pPr>
      <w:r>
        <w:rPr>
          <w:rFonts w:hint="eastAsia"/>
          <w:sz w:val="24"/>
        </w:rPr>
        <w:t>二、屋面细石混凝土刚性防水层施工规定：</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细石混凝土中水泥标号不应低于425号，水泥用量不应少于330kg/m3,水灰比不应大于0.5，混凝土中应掺入适量减水剂等。</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细石混凝土防水层中的钢筋网片应放在中部，绑扎铁丝收口向下弯，不得露出防水层表面。钢筋在分格缝处要切断。</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板端分格缝模条安装时应拉通线并固定，模条应在细石混凝土初凝后取出。</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每分格板块内混凝土应一次浇筑完，不得留施工缝。</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混凝土振捣至表面泛浆后，应刮平压实。压实时严禁在表面洒水、加水泥浆、撒干水泥。收水后应进行二次压光。</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养护时间不应小于14天，养护初期不得上人。</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混凝土养护完成后，应将分格缝清扫干净、干燥后填嵌背衬材料、涂刷基层处理剂，再嵌填密封材料。</w:t>
      </w:r>
    </w:p>
    <w:p>
      <w:pPr>
        <w:pStyle w:val="21"/>
        <w:numPr>
          <w:ilvl w:val="0"/>
          <w:numId w:val="19"/>
        </w:numPr>
        <w:spacing w:line="360" w:lineRule="auto"/>
        <w:rPr>
          <w:rFonts w:ascii="Calibri" w:hAnsi="Calibri"/>
          <w:kern w:val="2"/>
          <w:sz w:val="24"/>
          <w:szCs w:val="22"/>
        </w:rPr>
      </w:pPr>
      <w:r>
        <w:rPr>
          <w:rFonts w:hint="eastAsia" w:ascii="Calibri" w:hAnsi="Calibri"/>
          <w:kern w:val="2"/>
          <w:sz w:val="24"/>
          <w:szCs w:val="22"/>
        </w:rPr>
        <w:t>细石混凝土防水层施工温度宜在5~30℃，应避免在负温或烈日下施工。</w:t>
      </w:r>
    </w:p>
    <w:p>
      <w:pPr>
        <w:spacing w:line="360" w:lineRule="auto"/>
        <w:ind w:firstLine="480" w:firstLineChars="200"/>
        <w:rPr>
          <w:sz w:val="24"/>
        </w:rPr>
      </w:pPr>
      <w:r>
        <w:rPr>
          <w:rFonts w:hint="eastAsia"/>
          <w:sz w:val="24"/>
        </w:rPr>
        <w:t>三、卷材屋面防水</w:t>
      </w:r>
    </w:p>
    <w:p>
      <w:pPr>
        <w:pStyle w:val="21"/>
        <w:spacing w:line="360" w:lineRule="auto"/>
        <w:ind w:firstLine="240" w:firstLineChars="100"/>
        <w:rPr>
          <w:rFonts w:ascii="Calibri" w:hAnsi="Calibri"/>
          <w:kern w:val="2"/>
          <w:sz w:val="24"/>
          <w:szCs w:val="22"/>
        </w:rPr>
      </w:pPr>
      <w:r>
        <w:rPr>
          <w:rFonts w:hint="eastAsia" w:ascii="Calibri" w:hAnsi="Calibri"/>
          <w:kern w:val="2"/>
          <w:sz w:val="24"/>
          <w:szCs w:val="22"/>
        </w:rPr>
        <w:t>（一） 防水材料必须符合设计要求和相关规范规定。</w:t>
      </w:r>
    </w:p>
    <w:p>
      <w:pPr>
        <w:pStyle w:val="21"/>
        <w:spacing w:line="360" w:lineRule="auto"/>
        <w:ind w:firstLine="240" w:firstLineChars="100"/>
        <w:rPr>
          <w:rFonts w:ascii="Calibri" w:hAnsi="Calibri"/>
          <w:kern w:val="2"/>
          <w:sz w:val="24"/>
          <w:szCs w:val="22"/>
        </w:rPr>
      </w:pPr>
      <w:r>
        <w:rPr>
          <w:rFonts w:hint="eastAsia" w:ascii="Calibri" w:hAnsi="Calibri"/>
          <w:kern w:val="2"/>
          <w:sz w:val="24"/>
          <w:szCs w:val="22"/>
        </w:rPr>
        <w:t>（二） 水落口、伸出屋面管道和预埋件等应先安装，后浇筑结构混凝土。</w:t>
      </w:r>
    </w:p>
    <w:p>
      <w:pPr>
        <w:pStyle w:val="21"/>
        <w:spacing w:line="360" w:lineRule="auto"/>
        <w:ind w:firstLine="240" w:firstLineChars="100"/>
        <w:rPr>
          <w:rFonts w:ascii="Calibri" w:hAnsi="Calibri"/>
          <w:kern w:val="2"/>
          <w:sz w:val="24"/>
          <w:szCs w:val="22"/>
        </w:rPr>
      </w:pPr>
      <w:r>
        <w:rPr>
          <w:rFonts w:hint="eastAsia" w:ascii="Calibri" w:hAnsi="Calibri"/>
          <w:kern w:val="2"/>
          <w:sz w:val="24"/>
          <w:szCs w:val="22"/>
        </w:rPr>
        <w:t>（三） 水泥砂浆找平层必须按设计要求挂线找准坡度，并安好分格缝模条。水泥砂浆抹平收水后应进行二次压光，使表面平整密实并充分养护。屋面转角处按要求用圆角抹子抹出圆弧。水落口四周500mm直径范围内的找平层要抹成略低凹坑。</w:t>
      </w:r>
    </w:p>
    <w:p>
      <w:pPr>
        <w:pStyle w:val="21"/>
        <w:spacing w:line="360" w:lineRule="auto"/>
        <w:ind w:firstLine="240" w:firstLineChars="100"/>
        <w:rPr>
          <w:rFonts w:ascii="Calibri" w:hAnsi="Calibri"/>
          <w:kern w:val="2"/>
          <w:sz w:val="24"/>
          <w:szCs w:val="22"/>
        </w:rPr>
      </w:pPr>
      <w:r>
        <w:rPr>
          <w:rFonts w:hint="eastAsia" w:ascii="Calibri" w:hAnsi="Calibri"/>
          <w:kern w:val="2"/>
          <w:sz w:val="24"/>
          <w:szCs w:val="22"/>
        </w:rPr>
        <w:t>（四） 防水层施工前，必须将基层上的尘土、砂粒及砂浆疙瘩等清除干净，在施工过程中还应随时清扫。</w:t>
      </w:r>
    </w:p>
    <w:p>
      <w:pPr>
        <w:pStyle w:val="21"/>
        <w:spacing w:line="360" w:lineRule="auto"/>
        <w:ind w:firstLine="240" w:firstLineChars="100"/>
        <w:rPr>
          <w:rFonts w:ascii="Calibri" w:hAnsi="Calibri"/>
          <w:kern w:val="2"/>
          <w:sz w:val="24"/>
          <w:szCs w:val="22"/>
        </w:rPr>
      </w:pPr>
      <w:r>
        <w:rPr>
          <w:rFonts w:hint="eastAsia" w:ascii="Calibri" w:hAnsi="Calibri"/>
          <w:kern w:val="2"/>
          <w:sz w:val="24"/>
          <w:szCs w:val="22"/>
        </w:rPr>
        <w:t>（五） 防水层施工顺序：在同一跨中应按“先远后近”的原则，从最低标高处开始。</w:t>
      </w:r>
    </w:p>
    <w:p>
      <w:pPr>
        <w:pStyle w:val="3"/>
        <w:spacing w:before="0" w:after="0" w:line="415" w:lineRule="auto"/>
        <w:jc w:val="center"/>
        <w:rPr>
          <w:rFonts w:ascii="宋体" w:hAnsi="宋体"/>
          <w:bCs w:val="0"/>
          <w:sz w:val="28"/>
          <w:szCs w:val="28"/>
        </w:rPr>
      </w:pPr>
      <w:r>
        <w:rPr>
          <w:rFonts w:hint="eastAsia" w:ascii="宋体" w:hAnsi="宋体"/>
          <w:bCs w:val="0"/>
          <w:sz w:val="28"/>
          <w:szCs w:val="28"/>
        </w:rPr>
        <w:t>第三节  外墙、卫生间防水</w:t>
      </w:r>
    </w:p>
    <w:p>
      <w:pPr>
        <w:spacing w:line="360" w:lineRule="auto"/>
        <w:ind w:firstLine="480" w:firstLineChars="200"/>
        <w:rPr>
          <w:sz w:val="24"/>
        </w:rPr>
      </w:pPr>
      <w:r>
        <w:rPr>
          <w:rFonts w:hint="eastAsia"/>
          <w:sz w:val="24"/>
        </w:rPr>
        <w:t>一、外墙防水：外墙找平层施工前，应先安装门窗框的预埋铁件，并对墙面进行检查，合格后方可进行施工。</w:t>
      </w:r>
    </w:p>
    <w:p>
      <w:pPr>
        <w:spacing w:line="360" w:lineRule="auto"/>
        <w:ind w:firstLine="480" w:firstLineChars="200"/>
        <w:rPr>
          <w:sz w:val="24"/>
        </w:rPr>
      </w:pPr>
      <w:r>
        <w:rPr>
          <w:rFonts w:hint="eastAsia"/>
          <w:sz w:val="24"/>
        </w:rPr>
        <w:t>(一) 外墙找平层、防水层施工时，基面应充分湿润，不得有明水。</w:t>
      </w:r>
    </w:p>
    <w:p>
      <w:pPr>
        <w:spacing w:line="360" w:lineRule="auto"/>
        <w:ind w:firstLine="480" w:firstLineChars="200"/>
        <w:rPr>
          <w:sz w:val="24"/>
        </w:rPr>
      </w:pPr>
      <w:r>
        <w:rPr>
          <w:rFonts w:hint="eastAsia"/>
          <w:sz w:val="24"/>
        </w:rPr>
        <w:t xml:space="preserve">（二）找平层和防水层应分层抹压。 </w:t>
      </w:r>
    </w:p>
    <w:p>
      <w:pPr>
        <w:spacing w:line="360" w:lineRule="auto"/>
        <w:ind w:firstLine="480" w:firstLineChars="200"/>
        <w:rPr>
          <w:sz w:val="24"/>
        </w:rPr>
      </w:pPr>
      <w:r>
        <w:rPr>
          <w:rFonts w:hint="eastAsia"/>
          <w:sz w:val="24"/>
        </w:rPr>
        <w:t>（三）找平层和防水层施工完成后应及时进行淋水养护，养护时间不应少于3天。</w:t>
      </w:r>
    </w:p>
    <w:p>
      <w:pPr>
        <w:spacing w:line="360" w:lineRule="auto"/>
        <w:ind w:firstLine="480" w:firstLineChars="200"/>
        <w:rPr>
          <w:sz w:val="24"/>
        </w:rPr>
      </w:pPr>
      <w:r>
        <w:rPr>
          <w:rFonts w:hint="eastAsia"/>
          <w:sz w:val="24"/>
        </w:rPr>
        <w:t>（四）外墙雨水斗、水落口等部位，要做增强防水处理。管口部分要与楼面防水层相连接。</w:t>
      </w:r>
    </w:p>
    <w:p>
      <w:pPr>
        <w:spacing w:line="360" w:lineRule="auto"/>
        <w:ind w:firstLine="480" w:firstLineChars="200"/>
        <w:rPr>
          <w:sz w:val="24"/>
        </w:rPr>
      </w:pPr>
      <w:r>
        <w:rPr>
          <w:rFonts w:hint="eastAsia"/>
          <w:sz w:val="24"/>
        </w:rPr>
        <w:t>（五）在找平层和防水层上继续施工时，应抹一道聚合物水泥砂浆5mm厚。</w:t>
      </w:r>
    </w:p>
    <w:p>
      <w:pPr>
        <w:spacing w:line="360" w:lineRule="auto"/>
        <w:ind w:firstLine="480" w:firstLineChars="200"/>
        <w:rPr>
          <w:sz w:val="24"/>
        </w:rPr>
      </w:pPr>
      <w:r>
        <w:rPr>
          <w:rFonts w:hint="eastAsia"/>
          <w:sz w:val="24"/>
        </w:rPr>
        <w:t>（六）饰面砖勾缝时，应先清理缝中砂浆疙瘩并湿润。勾缝应平整、光滑、无砂眼、裂缝。勾缝后要及时淋水养护。</w:t>
      </w:r>
    </w:p>
    <w:p>
      <w:pPr>
        <w:spacing w:line="360" w:lineRule="auto"/>
        <w:ind w:firstLine="480" w:firstLineChars="200"/>
        <w:rPr>
          <w:sz w:val="24"/>
        </w:rPr>
      </w:pPr>
      <w:r>
        <w:rPr>
          <w:rFonts w:hint="eastAsia"/>
          <w:sz w:val="24"/>
        </w:rPr>
        <w:t>（七）女儿墙顶、窗顶、窗台及各种腰线部位，饰面顶面砖应后盖立面砖。</w:t>
      </w:r>
    </w:p>
    <w:p>
      <w:pPr>
        <w:spacing w:line="360" w:lineRule="auto"/>
        <w:ind w:firstLine="480" w:firstLineChars="200"/>
        <w:rPr>
          <w:sz w:val="24"/>
        </w:rPr>
      </w:pPr>
      <w:r>
        <w:rPr>
          <w:rFonts w:hint="eastAsia"/>
          <w:sz w:val="24"/>
        </w:rPr>
        <w:t>二、卫生间防水：</w:t>
      </w:r>
    </w:p>
    <w:p>
      <w:pPr>
        <w:spacing w:line="360" w:lineRule="auto"/>
        <w:ind w:firstLine="480" w:firstLineChars="200"/>
        <w:rPr>
          <w:sz w:val="24"/>
        </w:rPr>
      </w:pPr>
      <w:r>
        <w:rPr>
          <w:rFonts w:hint="eastAsia"/>
          <w:sz w:val="24"/>
        </w:rPr>
        <w:t>（一） 筑结构混凝土前，应按设计要求计算地面、地漏标高。地漏、穿过地面管道（套管）、预埋件等应事先埋设牢固。</w:t>
      </w:r>
    </w:p>
    <w:p>
      <w:pPr>
        <w:spacing w:line="360" w:lineRule="auto"/>
        <w:ind w:firstLine="480" w:firstLineChars="200"/>
        <w:rPr>
          <w:sz w:val="24"/>
        </w:rPr>
      </w:pPr>
      <w:r>
        <w:rPr>
          <w:rFonts w:hint="eastAsia"/>
          <w:sz w:val="24"/>
        </w:rPr>
        <w:t>（二） 平层铺抹时，应按设计要求做好排水坡度，并抹平压实。</w:t>
      </w:r>
    </w:p>
    <w:p>
      <w:pPr>
        <w:spacing w:line="360" w:lineRule="auto"/>
        <w:ind w:firstLine="480" w:firstLineChars="200"/>
        <w:rPr>
          <w:sz w:val="24"/>
        </w:rPr>
      </w:pPr>
      <w:r>
        <w:rPr>
          <w:rFonts w:hint="eastAsia"/>
          <w:sz w:val="24"/>
        </w:rPr>
        <w:t>（三） 面水泥砂浆找平时，墙角和地面交角应做成半径为20mm的小圆角，并在穿过防水层的管道（套管）四周和门窗框四周预留凹槽。</w:t>
      </w:r>
    </w:p>
    <w:p>
      <w:pPr>
        <w:spacing w:line="360" w:lineRule="auto"/>
        <w:ind w:firstLine="480" w:firstLineChars="200"/>
        <w:rPr>
          <w:sz w:val="24"/>
        </w:rPr>
      </w:pPr>
      <w:r>
        <w:rPr>
          <w:rFonts w:hint="eastAsia"/>
          <w:sz w:val="24"/>
        </w:rPr>
        <w:t>（四</w:t>
      </w:r>
      <w:r>
        <w:rPr>
          <w:sz w:val="24"/>
        </w:rPr>
        <w:t>）</w:t>
      </w:r>
      <w:r>
        <w:rPr>
          <w:rFonts w:hint="eastAsia"/>
          <w:sz w:val="24"/>
        </w:rPr>
        <w:t>墙面抹一道7mm厚聚合物水泥砂浆防水，表面应抹压平整。</w:t>
      </w:r>
    </w:p>
    <w:p>
      <w:pPr>
        <w:spacing w:line="360" w:lineRule="auto"/>
        <w:ind w:firstLine="480" w:firstLineChars="200"/>
        <w:rPr>
          <w:sz w:val="24"/>
        </w:rPr>
      </w:pPr>
      <w:r>
        <w:rPr>
          <w:rFonts w:hint="eastAsia"/>
          <w:sz w:val="24"/>
        </w:rPr>
        <w:t>（五</w:t>
      </w:r>
      <w:r>
        <w:rPr>
          <w:sz w:val="24"/>
        </w:rPr>
        <w:t>）</w:t>
      </w:r>
      <w:r>
        <w:rPr>
          <w:rFonts w:hint="eastAsia"/>
          <w:sz w:val="24"/>
        </w:rPr>
        <w:t>墙面涂一道1mm厚聚合物水泥基防水涂膜。</w:t>
      </w:r>
    </w:p>
    <w:p>
      <w:pPr>
        <w:spacing w:line="360" w:lineRule="auto"/>
        <w:ind w:firstLine="480" w:firstLineChars="200"/>
        <w:rPr>
          <w:sz w:val="24"/>
        </w:rPr>
      </w:pPr>
      <w:r>
        <w:rPr>
          <w:rFonts w:hint="eastAsia"/>
          <w:sz w:val="24"/>
        </w:rPr>
        <w:t>（六）沟和地坑的底部和侧面防水层必须同时施工，不得留置施工缝。</w:t>
      </w:r>
    </w:p>
    <w:p>
      <w:pPr>
        <w:spacing w:line="360" w:lineRule="auto"/>
        <w:ind w:firstLine="480" w:firstLineChars="200"/>
        <w:rPr>
          <w:sz w:val="24"/>
        </w:rPr>
      </w:pPr>
      <w:r>
        <w:rPr>
          <w:rFonts w:hint="eastAsia"/>
          <w:sz w:val="24"/>
        </w:rPr>
        <w:t>（七）贴饰面砖，地面应待涂膜干燥后光抹一层水泥砂浆覆盖层，达到一定强度后再铺贴饰面砖。</w:t>
      </w:r>
    </w:p>
    <w:p>
      <w:pPr>
        <w:spacing w:line="360" w:lineRule="auto"/>
        <w:ind w:firstLine="480" w:firstLineChars="200"/>
        <w:rPr>
          <w:sz w:val="24"/>
        </w:rPr>
      </w:pPr>
      <w:r>
        <w:rPr>
          <w:rFonts w:hint="eastAsia"/>
          <w:sz w:val="24"/>
        </w:rPr>
        <w:t>（八）装室内器具、洁具后，器、洁具接缝及固定的螺栓处应清扫干净、干燥，然后用合成高分子密封材料封严。</w:t>
      </w:r>
    </w:p>
    <w:p>
      <w:pPr>
        <w:spacing w:line="360" w:lineRule="auto"/>
        <w:ind w:firstLine="480" w:firstLineChars="200"/>
        <w:rPr>
          <w:sz w:val="24"/>
        </w:rPr>
      </w:pPr>
      <w:r>
        <w:rPr>
          <w:rFonts w:hint="eastAsia"/>
          <w:sz w:val="24"/>
        </w:rPr>
        <w:t>（九）防水层施工时应避免与其它工序交叉作业。</w:t>
      </w:r>
    </w:p>
    <w:p>
      <w:pPr>
        <w:pStyle w:val="21"/>
        <w:tabs>
          <w:tab w:val="left" w:pos="720"/>
          <w:tab w:val="left" w:pos="1680"/>
        </w:tabs>
        <w:spacing w:line="360" w:lineRule="auto"/>
        <w:ind w:firstLine="400" w:firstLineChars="200"/>
        <w:rPr>
          <w:rFonts w:hAnsi="宋体"/>
        </w:rPr>
      </w:pPr>
    </w:p>
    <w:p>
      <w:pPr>
        <w:spacing w:before="360" w:beforeLines="150" w:after="120" w:afterLines="50" w:line="360" w:lineRule="auto"/>
        <w:jc w:val="center"/>
        <w:rPr>
          <w:b/>
          <w:sz w:val="28"/>
          <w:szCs w:val="28"/>
        </w:rPr>
      </w:pPr>
      <w:r>
        <w:rPr>
          <w:rFonts w:hint="eastAsia"/>
          <w:b/>
          <w:sz w:val="28"/>
          <w:szCs w:val="28"/>
        </w:rPr>
        <w:t>第四节  白蚁防治技术要求</w:t>
      </w:r>
    </w:p>
    <w:p>
      <w:pPr>
        <w:spacing w:line="360" w:lineRule="auto"/>
        <w:ind w:firstLine="480" w:firstLineChars="200"/>
        <w:rPr>
          <w:sz w:val="24"/>
        </w:rPr>
      </w:pPr>
      <w:r>
        <w:rPr>
          <w:rFonts w:hint="eastAsia"/>
          <w:sz w:val="24"/>
        </w:rPr>
        <w:t>一、白蚁防治分包单位要有相应资质并报监理、业主审批</w:t>
      </w:r>
    </w:p>
    <w:p>
      <w:pPr>
        <w:spacing w:line="360" w:lineRule="auto"/>
        <w:ind w:firstLine="480" w:firstLineChars="200"/>
        <w:rPr>
          <w:sz w:val="24"/>
        </w:rPr>
      </w:pPr>
      <w:r>
        <w:rPr>
          <w:rFonts w:hint="eastAsia"/>
          <w:sz w:val="24"/>
        </w:rPr>
        <w:t>二、白蚁防治施工范围：（外墙200范围，深度300）</w:t>
      </w:r>
    </w:p>
    <w:p>
      <w:pPr>
        <w:spacing w:line="360" w:lineRule="auto"/>
        <w:ind w:firstLine="480" w:firstLineChars="200"/>
        <w:rPr>
          <w:sz w:val="24"/>
        </w:rPr>
      </w:pPr>
      <w:r>
        <w:rPr>
          <w:rFonts w:hint="eastAsia"/>
          <w:sz w:val="24"/>
        </w:rPr>
        <w:t>（一）基坑基槽部分及底板垫层以下土方的预防处理。</w:t>
      </w:r>
    </w:p>
    <w:p>
      <w:pPr>
        <w:spacing w:line="360" w:lineRule="auto"/>
        <w:ind w:firstLine="480" w:firstLineChars="200"/>
        <w:rPr>
          <w:sz w:val="24"/>
        </w:rPr>
      </w:pPr>
      <w:r>
        <w:rPr>
          <w:rFonts w:hint="eastAsia"/>
          <w:sz w:val="24"/>
        </w:rPr>
        <w:t>（二）基础室内回填土毒土预防处理</w:t>
      </w:r>
    </w:p>
    <w:p>
      <w:pPr>
        <w:spacing w:line="360" w:lineRule="auto"/>
        <w:ind w:firstLine="480" w:firstLineChars="200"/>
        <w:rPr>
          <w:sz w:val="24"/>
        </w:rPr>
      </w:pPr>
      <w:r>
        <w:rPr>
          <w:rFonts w:hint="eastAsia"/>
          <w:sz w:val="24"/>
        </w:rPr>
        <w:t>（三）基础室外防蚁沟毒土预防处理</w:t>
      </w:r>
    </w:p>
    <w:p>
      <w:pPr>
        <w:spacing w:line="360" w:lineRule="auto"/>
        <w:ind w:firstLine="480" w:firstLineChars="200"/>
        <w:rPr>
          <w:sz w:val="24"/>
        </w:rPr>
      </w:pPr>
      <w:r>
        <w:rPr>
          <w:rFonts w:hint="eastAsia"/>
          <w:sz w:val="24"/>
        </w:rPr>
        <w:t>（四）嵌入墙体内的各种管线槽预防处理</w:t>
      </w:r>
    </w:p>
    <w:p>
      <w:pPr>
        <w:spacing w:line="360" w:lineRule="auto"/>
        <w:ind w:firstLine="480" w:firstLineChars="200"/>
        <w:rPr>
          <w:sz w:val="24"/>
        </w:rPr>
      </w:pPr>
      <w:r>
        <w:rPr>
          <w:rFonts w:hint="eastAsia"/>
          <w:sz w:val="24"/>
        </w:rPr>
        <w:t>（五）卫生间墙壁、地面预防处理</w:t>
      </w:r>
    </w:p>
    <w:p>
      <w:pPr>
        <w:spacing w:line="360" w:lineRule="auto"/>
        <w:ind w:firstLine="480" w:firstLineChars="200"/>
        <w:rPr>
          <w:sz w:val="24"/>
        </w:rPr>
      </w:pPr>
      <w:r>
        <w:rPr>
          <w:rFonts w:hint="eastAsia"/>
          <w:sz w:val="24"/>
        </w:rPr>
        <w:t>（六）穿越基础外墙的电缆管、沟预防处理</w:t>
      </w:r>
    </w:p>
    <w:p>
      <w:pPr>
        <w:spacing w:line="360" w:lineRule="auto"/>
        <w:ind w:firstLine="480" w:firstLineChars="200"/>
        <w:rPr>
          <w:sz w:val="24"/>
        </w:rPr>
      </w:pPr>
      <w:r>
        <w:rPr>
          <w:rFonts w:hint="eastAsia"/>
          <w:sz w:val="24"/>
        </w:rPr>
        <w:t>（七）室内墙体上消防栓、凹槽、电器箱槽预防处理</w:t>
      </w:r>
    </w:p>
    <w:p>
      <w:pPr>
        <w:spacing w:before="360" w:beforeLines="150" w:after="120" w:afterLines="50" w:line="360" w:lineRule="auto"/>
        <w:jc w:val="center"/>
        <w:rPr>
          <w:b/>
          <w:sz w:val="28"/>
          <w:szCs w:val="28"/>
        </w:rPr>
      </w:pPr>
      <w:r>
        <w:rPr>
          <w:rFonts w:hint="eastAsia"/>
          <w:b/>
          <w:sz w:val="28"/>
          <w:szCs w:val="28"/>
        </w:rPr>
        <w:t>第五节  田径场要求</w:t>
      </w:r>
    </w:p>
    <w:p>
      <w:pPr>
        <w:spacing w:line="360" w:lineRule="auto"/>
        <w:ind w:firstLine="480" w:firstLineChars="200"/>
        <w:jc w:val="left"/>
        <w:rPr>
          <w:sz w:val="24"/>
        </w:rPr>
      </w:pPr>
      <w:r>
        <w:rPr>
          <w:rFonts w:hint="eastAsia"/>
          <w:sz w:val="24"/>
        </w:rPr>
        <w:t>1、施工工序</w:t>
      </w:r>
    </w:p>
    <w:p>
      <w:pPr>
        <w:spacing w:line="360" w:lineRule="auto"/>
        <w:ind w:firstLine="480" w:firstLineChars="200"/>
        <w:jc w:val="left"/>
        <w:rPr>
          <w:sz w:val="24"/>
        </w:rPr>
      </w:pPr>
      <w:r>
        <w:rPr>
          <w:rFonts w:hint="eastAsia"/>
          <w:sz w:val="24"/>
        </w:rPr>
        <w:t>拆除原跑道面层等→外运20km以内→基层验收合格→测量定位→除尘测水补平→底层处理→塑胶基材铺设→铺装塑胶面层→撒颗粒→划线</w:t>
      </w:r>
    </w:p>
    <w:p>
      <w:pPr>
        <w:spacing w:line="360" w:lineRule="auto"/>
        <w:ind w:firstLine="480" w:firstLineChars="200"/>
        <w:jc w:val="left"/>
        <w:rPr>
          <w:sz w:val="24"/>
        </w:rPr>
      </w:pPr>
    </w:p>
    <w:p>
      <w:pPr>
        <w:spacing w:line="360" w:lineRule="auto"/>
        <w:ind w:firstLine="480" w:firstLineChars="200"/>
        <w:jc w:val="left"/>
        <w:rPr>
          <w:sz w:val="24"/>
        </w:rPr>
      </w:pPr>
      <w:r>
        <w:rPr>
          <w:rFonts w:hint="eastAsia"/>
          <w:sz w:val="24"/>
        </w:rPr>
        <w:t>2、机械设备配置</w:t>
      </w:r>
    </w:p>
    <w:p>
      <w:pPr>
        <w:spacing w:line="360" w:lineRule="auto"/>
        <w:ind w:firstLine="480" w:firstLineChars="200"/>
        <w:jc w:val="left"/>
        <w:rPr>
          <w:sz w:val="24"/>
        </w:rPr>
      </w:pPr>
      <w:r>
        <w:rPr>
          <w:rFonts w:hint="eastAsia"/>
          <w:sz w:val="24"/>
        </w:rPr>
        <w:t>本分项工程要求至少投入反铲挖掘机1台，铲车1台，10T自卸车5台，手推车5辆，画线机1台，塑胶材料搅拌机2台，塑胶摊铺机1台、叉车1台、手提式搅拌机1台，手推运料车6台,斗车4台。</w:t>
      </w:r>
    </w:p>
    <w:p>
      <w:pPr>
        <w:spacing w:line="360" w:lineRule="auto"/>
        <w:ind w:firstLine="480" w:firstLineChars="200"/>
        <w:jc w:val="left"/>
        <w:rPr>
          <w:sz w:val="24"/>
        </w:rPr>
      </w:pPr>
    </w:p>
    <w:p>
      <w:pPr>
        <w:spacing w:line="360" w:lineRule="auto"/>
        <w:ind w:firstLine="480" w:firstLineChars="200"/>
        <w:jc w:val="left"/>
        <w:rPr>
          <w:sz w:val="24"/>
        </w:rPr>
      </w:pPr>
      <w:r>
        <w:rPr>
          <w:rFonts w:hint="eastAsia"/>
          <w:sz w:val="24"/>
        </w:rPr>
        <w:t>3、拆除原跑道面层</w:t>
      </w:r>
    </w:p>
    <w:p>
      <w:pPr>
        <w:spacing w:line="360" w:lineRule="auto"/>
        <w:ind w:firstLine="480" w:firstLineChars="200"/>
        <w:jc w:val="left"/>
        <w:rPr>
          <w:sz w:val="24"/>
        </w:rPr>
      </w:pPr>
      <w:r>
        <w:rPr>
          <w:rFonts w:hint="eastAsia"/>
          <w:sz w:val="24"/>
        </w:rPr>
        <w:t>将施工地段的原地标高复测一次，作标高控制点；人工配合挖掘机拆除原有面层，人工堆起废弃面层材料后，用铲车将废弃材料装车外运至废弃材料处理点（运距20km内）。</w:t>
      </w:r>
    </w:p>
    <w:p>
      <w:pPr>
        <w:spacing w:line="360" w:lineRule="auto"/>
        <w:ind w:firstLine="480" w:firstLineChars="200"/>
        <w:jc w:val="left"/>
        <w:rPr>
          <w:sz w:val="24"/>
        </w:rPr>
      </w:pPr>
    </w:p>
    <w:p>
      <w:pPr>
        <w:spacing w:line="360" w:lineRule="auto"/>
        <w:ind w:firstLine="480" w:firstLineChars="200"/>
        <w:jc w:val="left"/>
        <w:rPr>
          <w:sz w:val="24"/>
        </w:rPr>
      </w:pPr>
      <w:r>
        <w:rPr>
          <w:rFonts w:hint="eastAsia"/>
          <w:sz w:val="24"/>
        </w:rPr>
        <w:t>4、施工方法</w:t>
      </w:r>
    </w:p>
    <w:p>
      <w:pPr>
        <w:spacing w:line="360" w:lineRule="auto"/>
        <w:ind w:firstLine="480" w:firstLineChars="200"/>
        <w:jc w:val="left"/>
        <w:rPr>
          <w:sz w:val="24"/>
        </w:rPr>
      </w:pPr>
      <w:r>
        <w:rPr>
          <w:rFonts w:hint="eastAsia"/>
          <w:sz w:val="24"/>
        </w:rPr>
        <w:t>为保证环保型双组份水固化聚氨酯跑道面层铺装质量及平整度、坡度符合国际田联所颁布的规则要求，同时保证今后塑胶跑道的使用质量及观感，胶面铺装前必须对沥青基础的质量进行验收，具体标准参照国际田联标准手册及本场地设计图纸所规定的各项指标，其程序如下：</w:t>
      </w:r>
    </w:p>
    <w:p>
      <w:pPr>
        <w:spacing w:line="360" w:lineRule="auto"/>
        <w:ind w:firstLine="480" w:firstLineChars="200"/>
        <w:jc w:val="left"/>
        <w:rPr>
          <w:sz w:val="24"/>
        </w:rPr>
      </w:pPr>
      <w:r>
        <w:rPr>
          <w:rFonts w:hint="eastAsia"/>
          <w:sz w:val="24"/>
        </w:rPr>
        <w:t>a、基础验收整改</w:t>
      </w:r>
    </w:p>
    <w:p>
      <w:pPr>
        <w:spacing w:line="360" w:lineRule="auto"/>
        <w:ind w:firstLine="480" w:firstLineChars="200"/>
        <w:jc w:val="left"/>
        <w:rPr>
          <w:sz w:val="24"/>
        </w:rPr>
      </w:pPr>
      <w:r>
        <w:rPr>
          <w:rFonts w:hint="eastAsia"/>
          <w:sz w:val="24"/>
        </w:rPr>
        <w:t>(a)现场测量沥青基础的平整度和坡度。以跑道的直曲分界线为基准线，直道沿横向与纵向每3m标一个点，将3m直尺放于任何相邻两点之间并用塞规测量，局部最大凹陷处不超过3mm为合格点，全场测点合格率达到85%为合格，大于90%为良，大于95%为优良。</w:t>
      </w:r>
    </w:p>
    <w:p>
      <w:pPr>
        <w:spacing w:line="360" w:lineRule="auto"/>
        <w:ind w:firstLine="480" w:firstLineChars="200"/>
        <w:jc w:val="left"/>
        <w:rPr>
          <w:sz w:val="24"/>
        </w:rPr>
      </w:pPr>
      <w:r>
        <w:rPr>
          <w:rFonts w:hint="eastAsia"/>
          <w:sz w:val="24"/>
        </w:rPr>
        <w:t>(b)用水准仪检测轴线标高及各控制基准点标高（相对），是符合国际田联手册的要求，横向坡度不得大于1%，纵向坡度不得大于1‰。</w:t>
      </w:r>
    </w:p>
    <w:p>
      <w:pPr>
        <w:spacing w:line="360" w:lineRule="auto"/>
        <w:ind w:firstLine="480" w:firstLineChars="200"/>
        <w:jc w:val="left"/>
        <w:rPr>
          <w:sz w:val="24"/>
        </w:rPr>
      </w:pPr>
      <w:r>
        <w:rPr>
          <w:rFonts w:hint="eastAsia"/>
          <w:sz w:val="24"/>
        </w:rPr>
        <w:t>b、铺装前准备工作</w:t>
      </w:r>
    </w:p>
    <w:p>
      <w:pPr>
        <w:spacing w:line="360" w:lineRule="auto"/>
        <w:ind w:firstLine="480" w:firstLineChars="200"/>
        <w:jc w:val="left"/>
        <w:rPr>
          <w:sz w:val="24"/>
        </w:rPr>
      </w:pPr>
      <w:r>
        <w:rPr>
          <w:rFonts w:hint="eastAsia"/>
          <w:sz w:val="24"/>
        </w:rPr>
        <w:t>(a)组织全体铺装人员认真熟悉图纸了解设计意图。</w:t>
      </w:r>
    </w:p>
    <w:p>
      <w:pPr>
        <w:spacing w:line="360" w:lineRule="auto"/>
        <w:ind w:firstLine="480" w:firstLineChars="200"/>
        <w:jc w:val="left"/>
        <w:rPr>
          <w:sz w:val="24"/>
        </w:rPr>
      </w:pPr>
      <w:r>
        <w:rPr>
          <w:rFonts w:hint="eastAsia"/>
          <w:sz w:val="24"/>
        </w:rPr>
        <w:t>(b)指定专人收录天气预报资料，并与当地气象台取得联系，掌握整个施工期间当地中短期气象信息，及时调整施工安排，确保铺装工作的质量进度不受气候空气湿度的影响。</w:t>
      </w:r>
    </w:p>
    <w:p>
      <w:pPr>
        <w:spacing w:line="360" w:lineRule="auto"/>
        <w:ind w:firstLine="480" w:firstLineChars="200"/>
        <w:jc w:val="left"/>
        <w:rPr>
          <w:sz w:val="24"/>
        </w:rPr>
      </w:pPr>
      <w:r>
        <w:rPr>
          <w:rFonts w:hint="eastAsia"/>
          <w:sz w:val="24"/>
        </w:rPr>
        <w:t>(c)为杜绝施工接缝，保证道面平整美观，采用机械打料、确保整个田径场的无接缝。</w:t>
      </w:r>
    </w:p>
    <w:p>
      <w:pPr>
        <w:spacing w:line="360" w:lineRule="auto"/>
        <w:ind w:firstLine="480" w:firstLineChars="200"/>
        <w:jc w:val="left"/>
        <w:rPr>
          <w:sz w:val="24"/>
        </w:rPr>
      </w:pPr>
      <w:r>
        <w:rPr>
          <w:rFonts w:hint="eastAsia"/>
          <w:sz w:val="24"/>
        </w:rPr>
        <w:t>(d)为保证铺装质量及工艺，每个工序除正常配备之外，另配一名质检员。</w:t>
      </w:r>
    </w:p>
    <w:p>
      <w:pPr>
        <w:spacing w:line="360" w:lineRule="auto"/>
        <w:ind w:firstLine="480" w:firstLineChars="200"/>
        <w:jc w:val="left"/>
        <w:rPr>
          <w:sz w:val="24"/>
        </w:rPr>
      </w:pPr>
      <w:r>
        <w:rPr>
          <w:rFonts w:hint="eastAsia"/>
          <w:sz w:val="24"/>
        </w:rPr>
        <w:t>c、正式铺装工作</w:t>
      </w:r>
    </w:p>
    <w:p>
      <w:pPr>
        <w:spacing w:line="360" w:lineRule="auto"/>
        <w:ind w:firstLine="480" w:firstLineChars="200"/>
        <w:jc w:val="left"/>
        <w:rPr>
          <w:sz w:val="24"/>
        </w:rPr>
      </w:pPr>
      <w:r>
        <w:rPr>
          <w:rFonts w:hint="eastAsia"/>
          <w:sz w:val="24"/>
        </w:rPr>
        <w:t>(a)测水补平</w:t>
      </w:r>
    </w:p>
    <w:p>
      <w:pPr>
        <w:spacing w:line="360" w:lineRule="auto"/>
        <w:ind w:firstLine="480" w:firstLineChars="200"/>
        <w:jc w:val="left"/>
        <w:rPr>
          <w:sz w:val="24"/>
        </w:rPr>
      </w:pPr>
      <w:r>
        <w:rPr>
          <w:rFonts w:hint="eastAsia"/>
          <w:sz w:val="24"/>
        </w:rPr>
        <w:t>除尘清洁：在正式铺设之前，将道面打扫清洗干净，尤其要认真检查道面是否有土建工程滴漏的水泥砂浆及摊铺机和压路机漏油造成的油污。</w:t>
      </w:r>
    </w:p>
    <w:p>
      <w:pPr>
        <w:spacing w:line="360" w:lineRule="auto"/>
        <w:ind w:firstLine="480" w:firstLineChars="200"/>
        <w:jc w:val="left"/>
        <w:rPr>
          <w:sz w:val="24"/>
        </w:rPr>
      </w:pPr>
      <w:r>
        <w:rPr>
          <w:rFonts w:hint="eastAsia"/>
          <w:sz w:val="24"/>
        </w:rPr>
        <w:t>平整度校检找平，为保证整个场地铺装平整，厚度均匀，施工前用自来水对整个场地进行浇水，浇水要全面彻底，且要采用慢注慢流，严禁强冲，待积水处理干后，凹陷积水处用粉笔做好记号，用纯聚氨酯胶浆补平，直到将整个场地凹陷处补平，没有阻积水现象为止。</w:t>
      </w:r>
    </w:p>
    <w:p>
      <w:pPr>
        <w:spacing w:line="360" w:lineRule="auto"/>
        <w:ind w:firstLine="480" w:firstLineChars="200"/>
        <w:jc w:val="left"/>
        <w:rPr>
          <w:sz w:val="24"/>
        </w:rPr>
      </w:pPr>
      <w:r>
        <w:rPr>
          <w:rFonts w:hint="eastAsia"/>
          <w:sz w:val="24"/>
        </w:rPr>
        <w:t>试铺：防潮、补平、道面涂布完成，经检测达到要求之后，在田径场的四个角各做3个1×1m的试铺，并认真做好记录，要求：一是试铺取料要随机，二是四个试铺配比不同。目的：一是检查原材料的质量，二是根据施工现场的具体情况如温度、空气湿度及地面含水率，</w:t>
      </w:r>
    </w:p>
    <w:p>
      <w:pPr>
        <w:spacing w:line="360" w:lineRule="auto"/>
        <w:ind w:firstLine="480" w:firstLineChars="200"/>
        <w:jc w:val="left"/>
        <w:rPr>
          <w:sz w:val="24"/>
        </w:rPr>
      </w:pPr>
      <w:r>
        <w:rPr>
          <w:rFonts w:hint="eastAsia"/>
          <w:sz w:val="24"/>
        </w:rPr>
        <w:t>以确定铺装材料的最佳配合比及掌握固化时间，固化后取块送检，经双方认可后正式进行聚氨酯胶面摊铺。</w:t>
      </w:r>
    </w:p>
    <w:p>
      <w:pPr>
        <w:spacing w:line="360" w:lineRule="auto"/>
        <w:ind w:firstLine="480" w:firstLineChars="200"/>
        <w:jc w:val="left"/>
        <w:rPr>
          <w:sz w:val="24"/>
        </w:rPr>
      </w:pPr>
      <w:r>
        <w:rPr>
          <w:rFonts w:hint="eastAsia"/>
          <w:sz w:val="24"/>
        </w:rPr>
        <w:t>(b)基材摊铺</w:t>
      </w:r>
    </w:p>
    <w:p>
      <w:pPr>
        <w:spacing w:line="360" w:lineRule="auto"/>
        <w:ind w:firstLine="480" w:firstLineChars="200"/>
        <w:jc w:val="left"/>
        <w:rPr>
          <w:sz w:val="24"/>
        </w:rPr>
      </w:pPr>
      <w:r>
        <w:rPr>
          <w:rFonts w:hint="eastAsia"/>
          <w:sz w:val="24"/>
        </w:rPr>
        <w:t>测水补平后，经检查确认达到要求，即开始摊铺基材底胶，聚氨酯，UA-608（甲组份）与水(乙组份)的比例为1：0.15，再生胶粒含量&lt;25%，粒径&lt;18#-22#，厚度为13mm。其程序如下。</w:t>
      </w:r>
    </w:p>
    <w:p>
      <w:pPr>
        <w:spacing w:line="360" w:lineRule="auto"/>
        <w:ind w:firstLine="480" w:firstLineChars="200"/>
        <w:jc w:val="left"/>
        <w:rPr>
          <w:sz w:val="24"/>
        </w:rPr>
      </w:pPr>
      <w:r>
        <w:rPr>
          <w:rFonts w:hint="eastAsia"/>
          <w:sz w:val="24"/>
        </w:rPr>
        <w:t>根据当日的铺装面积计算所需半成品，并将所需材料及机具全部摆放于施工地点。</w:t>
      </w:r>
    </w:p>
    <w:p>
      <w:pPr>
        <w:spacing w:line="360" w:lineRule="auto"/>
        <w:ind w:firstLine="480" w:firstLineChars="200"/>
        <w:jc w:val="left"/>
        <w:rPr>
          <w:sz w:val="24"/>
        </w:rPr>
      </w:pPr>
      <w:r>
        <w:rPr>
          <w:rFonts w:hint="eastAsia"/>
          <w:sz w:val="24"/>
        </w:rPr>
        <w:t>检查机具、电路尤其是度量衡工具的准确性。</w:t>
      </w:r>
    </w:p>
    <w:p>
      <w:pPr>
        <w:spacing w:line="360" w:lineRule="auto"/>
        <w:ind w:firstLine="480" w:firstLineChars="200"/>
        <w:jc w:val="left"/>
        <w:rPr>
          <w:sz w:val="24"/>
        </w:rPr>
      </w:pPr>
      <w:r>
        <w:rPr>
          <w:rFonts w:hint="eastAsia"/>
          <w:sz w:val="24"/>
        </w:rPr>
        <w:t>根据进度安排顺序用13mm夹板开锯为2cm宽的木板条，外裹胶纸，内排水沟上贴胶纸。将当日工作区域分开钉好，同时检查是否与道面紧贴，防止板条松脱而出现漏浆现象。</w:t>
      </w:r>
    </w:p>
    <w:p>
      <w:pPr>
        <w:spacing w:line="360" w:lineRule="auto"/>
        <w:ind w:firstLine="480" w:firstLineChars="200"/>
        <w:jc w:val="left"/>
        <w:rPr>
          <w:sz w:val="24"/>
        </w:rPr>
      </w:pPr>
      <w:r>
        <w:rPr>
          <w:rFonts w:hint="eastAsia"/>
          <w:sz w:val="24"/>
        </w:rPr>
        <w:t>道面除尘、清洁。</w:t>
      </w:r>
    </w:p>
    <w:p>
      <w:pPr>
        <w:spacing w:line="360" w:lineRule="auto"/>
        <w:ind w:firstLine="480" w:firstLineChars="200"/>
        <w:jc w:val="left"/>
        <w:rPr>
          <w:sz w:val="24"/>
        </w:rPr>
      </w:pPr>
      <w:r>
        <w:rPr>
          <w:rFonts w:hint="eastAsia"/>
          <w:sz w:val="24"/>
        </w:rPr>
        <w:t>以试铺送检最优配合比为依据并根据当日气温及空气湿度，调整配合比后，严格按配比配料。下料开机搅拌，配料时一是要确保度量衡工具的准确；二是除配料员外，必须有复核员；三是每次称量都必须按程序并记录；四是严格控制拌和时间，拌和务必均匀并掌握好喂料节奏及下料地点。</w:t>
      </w:r>
    </w:p>
    <w:p>
      <w:pPr>
        <w:spacing w:line="360" w:lineRule="auto"/>
        <w:ind w:firstLine="480" w:firstLineChars="200"/>
        <w:jc w:val="left"/>
        <w:rPr>
          <w:sz w:val="24"/>
        </w:rPr>
      </w:pPr>
      <w:r>
        <w:rPr>
          <w:rFonts w:hint="eastAsia"/>
          <w:sz w:val="24"/>
        </w:rPr>
        <w:t>摊铺：混合配比材料运至摊铺现场下料后，即开始摊铺，摊铺时应注意：一是随时检测厚度，只允许正差而不允许负差；二是随时根据温度变化调整稀释剂比例，防止胶浆过稀，固化时间慢顺坡流动而造成内厚外薄的现象；三是尽可能摊铺时间安排在下午4点以后或早上10点以前，防止气温过高，使原料在固化过程中产生发泡现象而影响质量。</w:t>
      </w:r>
    </w:p>
    <w:p>
      <w:pPr>
        <w:spacing w:line="360" w:lineRule="auto"/>
        <w:ind w:firstLine="480" w:firstLineChars="200"/>
        <w:jc w:val="left"/>
        <w:rPr>
          <w:sz w:val="24"/>
        </w:rPr>
      </w:pPr>
      <w:r>
        <w:rPr>
          <w:rFonts w:hint="eastAsia"/>
          <w:sz w:val="24"/>
        </w:rPr>
        <w:t>基材铺设完毕后进行检查：一是否有起鼓离层及疏松现象，如有此类现象，应及时分析原因并做彻底处理；二是平整度第一次检测，凹陷处应及时补平，凸出之处要打磨，确认基材的厚度、平整度及质量达到要求之后，才做面层铺设，从而保证面层铺设的平整度及整体质量。</w:t>
      </w:r>
    </w:p>
    <w:p>
      <w:pPr>
        <w:spacing w:line="360" w:lineRule="auto"/>
        <w:ind w:firstLine="480" w:firstLineChars="200"/>
        <w:jc w:val="left"/>
        <w:rPr>
          <w:sz w:val="24"/>
        </w:rPr>
      </w:pPr>
      <w:r>
        <w:rPr>
          <w:rFonts w:hint="eastAsia"/>
          <w:sz w:val="24"/>
        </w:rPr>
        <w:t>(c)面层铺设：面层为单组份聚氨酯，UA-608与水比例为1：0.15不含再生胶粒（黑胶粒）厚度为2.5-2.8mm。表面颗粒为PU颗粒，粒径3-5mm，经三道筛不含粉。基材铺设经检测符合要求之后，即摊铺一层厚2.5-2.8mm全PU胶浆，10-20分钟后把PU胶粒均匀撒上，待完全固化（约10小时）后，用扫粒机将多余颗粒清扫吸尽后开始划线。面胶铺设应注意悬浮多余颗粒要清除干净，以防颗粒影响标志线。</w:t>
      </w:r>
    </w:p>
    <w:p>
      <w:pPr>
        <w:spacing w:line="360" w:lineRule="auto"/>
        <w:ind w:firstLine="480" w:firstLineChars="200"/>
        <w:jc w:val="left"/>
        <w:rPr>
          <w:sz w:val="24"/>
        </w:rPr>
      </w:pPr>
      <w:r>
        <w:rPr>
          <w:rFonts w:hint="eastAsia"/>
          <w:sz w:val="24"/>
        </w:rPr>
        <w:t>(d)胶面铺装紧急情况处理</w:t>
      </w:r>
    </w:p>
    <w:p>
      <w:pPr>
        <w:spacing w:line="360" w:lineRule="auto"/>
        <w:ind w:firstLine="480" w:firstLineChars="200"/>
        <w:jc w:val="left"/>
        <w:rPr>
          <w:sz w:val="24"/>
        </w:rPr>
      </w:pPr>
      <w:r>
        <w:rPr>
          <w:rFonts w:hint="eastAsia"/>
          <w:sz w:val="24"/>
        </w:rPr>
        <w:t>塑胶跑道施工过程中往往会遇到许多紧急情况，大致情况有：下雨、刮风、停电等。紧急情况的处理方法有：</w:t>
      </w:r>
    </w:p>
    <w:p>
      <w:pPr>
        <w:spacing w:line="360" w:lineRule="auto"/>
        <w:ind w:firstLine="480" w:firstLineChars="200"/>
        <w:jc w:val="left"/>
        <w:rPr>
          <w:sz w:val="24"/>
        </w:rPr>
      </w:pPr>
      <w:r>
        <w:rPr>
          <w:rFonts w:hint="eastAsia"/>
          <w:sz w:val="24"/>
        </w:rPr>
        <w:t>①.下雨</w:t>
      </w:r>
    </w:p>
    <w:p>
      <w:pPr>
        <w:spacing w:line="360" w:lineRule="auto"/>
        <w:ind w:firstLine="480" w:firstLineChars="200"/>
        <w:jc w:val="left"/>
        <w:rPr>
          <w:sz w:val="24"/>
        </w:rPr>
      </w:pPr>
      <w:r>
        <w:rPr>
          <w:rFonts w:hint="eastAsia"/>
          <w:sz w:val="24"/>
        </w:rPr>
        <w:t>如果塑胶跑道铺装施工过程中突然发生下雨的紧急情况，则应立即停止配料，用预先准备好的塑料薄膜盖好电机、搅拌器以及物料桶等，如搅拌器中已有搅拌好的胶浆，应立即将胶浆倒入料车中，当垃圾处理掉。摊铺工人应迅速将余下的胶浆铺至模腔中，撒粒工序中操作人员如发现仍有大面积未撒，则应立即停止撒胶粒，待第二天在已固化的胶面上刮一层胶浆再撒胶粒。</w:t>
      </w:r>
    </w:p>
    <w:p>
      <w:pPr>
        <w:spacing w:line="360" w:lineRule="auto"/>
        <w:ind w:firstLine="480" w:firstLineChars="200"/>
        <w:jc w:val="left"/>
        <w:rPr>
          <w:sz w:val="24"/>
        </w:rPr>
      </w:pPr>
      <w:r>
        <w:rPr>
          <w:rFonts w:hint="eastAsia"/>
          <w:sz w:val="24"/>
        </w:rPr>
        <w:t>②.刮风</w:t>
      </w:r>
    </w:p>
    <w:p>
      <w:pPr>
        <w:spacing w:line="360" w:lineRule="auto"/>
        <w:ind w:firstLine="480" w:firstLineChars="200"/>
        <w:jc w:val="left"/>
        <w:rPr>
          <w:sz w:val="24"/>
        </w:rPr>
      </w:pPr>
      <w:r>
        <w:rPr>
          <w:rFonts w:hint="eastAsia"/>
          <w:sz w:val="24"/>
        </w:rPr>
        <w:t>如果铺装过程中出现刮大风紧急情况，立即停止配料、摊铺工序，如发现有杂物刮至胶浆或液面上应不断将杂物清除掉。撒胶粒工序如发现有杂物被吹到胶浆中，应先清除杂物，再撒胶粒。</w:t>
      </w:r>
    </w:p>
    <w:p>
      <w:pPr>
        <w:spacing w:line="360" w:lineRule="auto"/>
        <w:ind w:firstLine="480" w:firstLineChars="200"/>
        <w:jc w:val="left"/>
        <w:rPr>
          <w:sz w:val="24"/>
        </w:rPr>
      </w:pPr>
      <w:r>
        <w:rPr>
          <w:rFonts w:hint="eastAsia"/>
          <w:sz w:val="24"/>
        </w:rPr>
        <w:t>③.停电</w:t>
      </w:r>
    </w:p>
    <w:p>
      <w:pPr>
        <w:spacing w:line="360" w:lineRule="auto"/>
        <w:ind w:firstLine="480" w:firstLineChars="200"/>
        <w:jc w:val="left"/>
        <w:rPr>
          <w:sz w:val="24"/>
        </w:rPr>
      </w:pPr>
      <w:r>
        <w:rPr>
          <w:rFonts w:hint="eastAsia"/>
          <w:sz w:val="24"/>
        </w:rPr>
        <w:t>如果配料过程中发生停电事故，如能及时修复电路的应立即修复，如不能及时修复，应立即停止配料，同时通知摊铺人员做好停工准备，如果搅拌器中有物料应当垃圾处理掉。</w:t>
      </w:r>
    </w:p>
    <w:p>
      <w:pPr>
        <w:spacing w:line="360" w:lineRule="auto"/>
        <w:ind w:firstLine="480" w:firstLineChars="200"/>
        <w:jc w:val="left"/>
        <w:rPr>
          <w:sz w:val="24"/>
        </w:rPr>
      </w:pPr>
      <w:r>
        <w:rPr>
          <w:rFonts w:hint="eastAsia"/>
          <w:sz w:val="24"/>
        </w:rPr>
        <w:t>(e)标志线测画</w:t>
      </w:r>
    </w:p>
    <w:p>
      <w:pPr>
        <w:spacing w:line="360" w:lineRule="auto"/>
        <w:ind w:firstLine="480" w:firstLineChars="200"/>
        <w:jc w:val="left"/>
        <w:rPr>
          <w:sz w:val="24"/>
        </w:rPr>
      </w:pPr>
      <w:r>
        <w:rPr>
          <w:rFonts w:hint="eastAsia"/>
          <w:sz w:val="24"/>
        </w:rPr>
        <w:t>胶面铺设完成后，全场做卫生清洁工作，完成后即可开始划线，其步骤如下：</w:t>
      </w:r>
    </w:p>
    <w:p>
      <w:pPr>
        <w:spacing w:line="360" w:lineRule="auto"/>
        <w:ind w:firstLine="480" w:firstLineChars="200"/>
        <w:jc w:val="left"/>
        <w:rPr>
          <w:sz w:val="24"/>
        </w:rPr>
      </w:pPr>
      <w:r>
        <w:rPr>
          <w:rFonts w:hint="eastAsia"/>
          <w:sz w:val="24"/>
        </w:rPr>
        <w:t>①首先复检七个基本桩点，并对误差做调校确认后，按照国际田联的标准进行测量，画出各种标志线，以此为基准，用钢尺把分道线分好，用铁钉定点，再用具有一定韧性的鱼丝线将各点纵横相连。</w:t>
      </w:r>
    </w:p>
    <w:p>
      <w:pPr>
        <w:spacing w:line="360" w:lineRule="auto"/>
        <w:ind w:firstLine="480" w:firstLineChars="200"/>
        <w:jc w:val="left"/>
        <w:rPr>
          <w:sz w:val="24"/>
        </w:rPr>
      </w:pPr>
      <w:r>
        <w:rPr>
          <w:rFonts w:hint="eastAsia"/>
          <w:sz w:val="24"/>
        </w:rPr>
        <w:t>②将线槽基准线与定位线对齐，将线漆调好后即可开始喷分道线，注意线槽底面一定要加一层5-8MMEVA泡沫垫层，使线槽与道面能更紧密地贴合而防止虚边。</w:t>
      </w:r>
    </w:p>
    <w:p>
      <w:pPr>
        <w:spacing w:line="360" w:lineRule="auto"/>
        <w:ind w:firstLine="480" w:firstLineChars="200"/>
        <w:jc w:val="left"/>
        <w:rPr>
          <w:sz w:val="24"/>
        </w:rPr>
      </w:pPr>
      <w:r>
        <w:rPr>
          <w:rFonts w:hint="eastAsia"/>
          <w:sz w:val="24"/>
        </w:rPr>
        <w:t>③将各项目的起点、终点线等列表，并根据不同项目标志线颜色不同，做成若干不同颜色的小标志，用透明胶固定于大头针上部，用经纬仪标定于各自的位置上，所有标志物标志完，检查无遗漏，用经纬仪复核一遍确认后，用钢尺采用放射线丈量法再次检查确认，再根据不同项目用不同颜色线漆喷涂上述各点位线。</w:t>
      </w:r>
    </w:p>
    <w:p>
      <w:pPr>
        <w:spacing w:line="360" w:lineRule="auto"/>
        <w:ind w:firstLine="480" w:firstLineChars="200"/>
        <w:jc w:val="left"/>
        <w:rPr>
          <w:sz w:val="24"/>
        </w:rPr>
      </w:pPr>
      <w:r>
        <w:rPr>
          <w:rFonts w:hint="eastAsia"/>
          <w:sz w:val="24"/>
        </w:rPr>
        <w:t>d.标志线喷涂注意事项</w:t>
      </w:r>
    </w:p>
    <w:p>
      <w:pPr>
        <w:spacing w:line="360" w:lineRule="auto"/>
        <w:ind w:firstLine="480" w:firstLineChars="200"/>
        <w:jc w:val="left"/>
        <w:rPr>
          <w:sz w:val="24"/>
        </w:rPr>
      </w:pPr>
      <w:r>
        <w:rPr>
          <w:rFonts w:hint="eastAsia"/>
          <w:sz w:val="24"/>
        </w:rPr>
        <w:t>(a)划线后需经体育工艺员复核，角度部分用放射线长度进行校核，直线部分用鉴定过的钢尺（包括尺长校正、温度校正）进行复核，确认符合后，方可按国际田联规定的彩色标志喷漆。</w:t>
      </w:r>
    </w:p>
    <w:p>
      <w:pPr>
        <w:spacing w:line="360" w:lineRule="auto"/>
        <w:ind w:firstLine="480" w:firstLineChars="200"/>
        <w:jc w:val="left"/>
        <w:rPr>
          <w:sz w:val="24"/>
        </w:rPr>
      </w:pPr>
      <w:r>
        <w:rPr>
          <w:rFonts w:hint="eastAsia"/>
          <w:sz w:val="24"/>
        </w:rPr>
        <w:t>(b)喷漆时，要反复检查喷线木盒的宽度是否符合田联的规定，如不符合应及时调整。</w:t>
      </w:r>
    </w:p>
    <w:p>
      <w:pPr>
        <w:spacing w:line="360" w:lineRule="auto"/>
        <w:ind w:firstLine="480" w:firstLineChars="200"/>
        <w:jc w:val="left"/>
        <w:rPr>
          <w:sz w:val="24"/>
        </w:rPr>
      </w:pPr>
      <w:r>
        <w:rPr>
          <w:rFonts w:hint="eastAsia"/>
          <w:sz w:val="24"/>
        </w:rPr>
        <w:t>(c)喷漆操作人员应掌握好喷枪的距离（离塑胶面）和角度，以使线条美观、色泽均匀。</w:t>
      </w:r>
    </w:p>
    <w:p>
      <w:pPr>
        <w:spacing w:line="360" w:lineRule="auto"/>
        <w:ind w:firstLine="480" w:firstLineChars="200"/>
        <w:jc w:val="left"/>
        <w:rPr>
          <w:sz w:val="24"/>
        </w:rPr>
      </w:pPr>
      <w:r>
        <w:rPr>
          <w:rFonts w:hint="eastAsia"/>
          <w:sz w:val="24"/>
        </w:rPr>
        <w:t>e、成品保护</w:t>
      </w:r>
    </w:p>
    <w:p>
      <w:pPr>
        <w:spacing w:line="360" w:lineRule="auto"/>
        <w:ind w:firstLine="480" w:firstLineChars="200"/>
        <w:jc w:val="left"/>
        <w:rPr>
          <w:sz w:val="24"/>
        </w:rPr>
      </w:pPr>
      <w:r>
        <w:rPr>
          <w:rFonts w:hint="eastAsia"/>
          <w:sz w:val="24"/>
        </w:rPr>
        <w:t>塑胶跑道各个层次做好后为保证塑胶跑道不被损坏，在塑胶跑道半成品和成品上铺设彩条布，以防尘、防晒、防雨水。</w:t>
      </w:r>
    </w:p>
    <w:p>
      <w:pPr>
        <w:spacing w:line="360" w:lineRule="auto"/>
        <w:ind w:firstLine="480" w:firstLineChars="200"/>
        <w:jc w:val="left"/>
        <w:rPr>
          <w:sz w:val="24"/>
        </w:rPr>
      </w:pPr>
      <w:r>
        <w:rPr>
          <w:rFonts w:hint="eastAsia"/>
          <w:sz w:val="24"/>
        </w:rPr>
        <w:t>在做完沥青面层、做完塑胶基层、做完塑胶面层后分别要对塑胶进行试水实验，以查看塑胶是否有不平整的部位，进行及时补救。</w:t>
      </w:r>
    </w:p>
    <w:p>
      <w:pPr>
        <w:spacing w:line="360" w:lineRule="auto"/>
        <w:ind w:firstLine="480" w:firstLineChars="200"/>
        <w:jc w:val="left"/>
        <w:rPr>
          <w:sz w:val="24"/>
        </w:rPr>
      </w:pPr>
      <w:r>
        <w:rPr>
          <w:rFonts w:hint="eastAsia"/>
          <w:sz w:val="24"/>
        </w:rPr>
        <w:t>f、材料送检</w:t>
      </w:r>
    </w:p>
    <w:p>
      <w:pPr>
        <w:spacing w:line="360" w:lineRule="auto"/>
        <w:ind w:firstLine="480" w:firstLineChars="200"/>
        <w:jc w:val="left"/>
        <w:rPr>
          <w:sz w:val="24"/>
        </w:rPr>
      </w:pPr>
      <w:r>
        <w:rPr>
          <w:rFonts w:hint="eastAsia"/>
          <w:sz w:val="24"/>
        </w:rPr>
        <w:t>塑胶材料应做成塑胶样块后送至质量检测中心检测。</w:t>
      </w:r>
    </w:p>
    <w:p>
      <w:pPr>
        <w:spacing w:line="360" w:lineRule="auto"/>
        <w:ind w:firstLine="480" w:firstLineChars="200"/>
        <w:jc w:val="left"/>
        <w:rPr>
          <w:sz w:val="24"/>
        </w:rPr>
      </w:pPr>
    </w:p>
    <w:p>
      <w:pPr>
        <w:spacing w:line="360" w:lineRule="auto"/>
        <w:ind w:firstLine="480" w:firstLineChars="200"/>
        <w:jc w:val="left"/>
        <w:rPr>
          <w:sz w:val="24"/>
        </w:rPr>
      </w:pPr>
      <w:r>
        <w:rPr>
          <w:rFonts w:hint="eastAsia"/>
          <w:sz w:val="24"/>
        </w:rPr>
        <w:t>5、双组份水固化环保型塑胶跑道工程技术要求</w:t>
      </w:r>
    </w:p>
    <w:p>
      <w:pPr>
        <w:spacing w:line="360" w:lineRule="auto"/>
        <w:ind w:firstLine="480" w:firstLineChars="200"/>
        <w:jc w:val="left"/>
        <w:rPr>
          <w:sz w:val="24"/>
        </w:rPr>
      </w:pPr>
      <w:r>
        <w:rPr>
          <w:rFonts w:hint="eastAsia"/>
          <w:sz w:val="24"/>
        </w:rPr>
        <w:t>（1）中标人必须具有能够根据业主对跑道颜色的要求提供该颜色跑道的能力，跑道最终颜色由业主及设计单位确定；当颜色调整时，费用作相应调整；</w:t>
      </w:r>
    </w:p>
    <w:p>
      <w:pPr>
        <w:spacing w:line="360" w:lineRule="auto"/>
        <w:ind w:firstLine="480" w:firstLineChars="200"/>
        <w:jc w:val="left"/>
        <w:rPr>
          <w:sz w:val="24"/>
        </w:rPr>
      </w:pPr>
      <w:r>
        <w:rPr>
          <w:rFonts w:hint="eastAsia"/>
          <w:sz w:val="24"/>
        </w:rPr>
        <w:t>（2）塑胶跑道要求使用环保型双组份水固化面层材料，使用环保型原材料生产，具有永久表面凸纹，避免雨水停留，耐磨止滑，可有效防止运动滑倒；</w:t>
      </w:r>
    </w:p>
    <w:p>
      <w:pPr>
        <w:spacing w:line="360" w:lineRule="auto"/>
        <w:ind w:firstLine="480" w:firstLineChars="200"/>
        <w:jc w:val="left"/>
        <w:rPr>
          <w:sz w:val="24"/>
        </w:rPr>
      </w:pPr>
      <w:r>
        <w:rPr>
          <w:rFonts w:hint="eastAsia"/>
          <w:sz w:val="24"/>
        </w:rPr>
        <w:t>（3）塑胶跑道面层铺装需采用国际先进的铺装工艺进行铺装，需使用精度符合要求的全站仪进行跑道画线，跑道画线工作必须由具有取得国际田联认可的田径场地画线资质的专业画线师完成，并提供相应的资质证书原件备查；</w:t>
      </w:r>
    </w:p>
    <w:p>
      <w:pPr>
        <w:spacing w:line="360" w:lineRule="auto"/>
        <w:ind w:firstLine="480" w:firstLineChars="200"/>
        <w:jc w:val="left"/>
        <w:rPr>
          <w:sz w:val="24"/>
        </w:rPr>
      </w:pPr>
      <w:r>
        <w:rPr>
          <w:rFonts w:hint="eastAsia"/>
          <w:sz w:val="24"/>
        </w:rPr>
        <w:t>（4）环保型双组份水固化面层固化应均匀稳定，不得出现起鼓、气泡、裂缝、分层、断裂或台阶式凹凸，厚度均匀一致，表面色泽均匀、耐火；</w:t>
      </w:r>
    </w:p>
    <w:p>
      <w:pPr>
        <w:spacing w:line="360" w:lineRule="auto"/>
        <w:ind w:firstLine="480" w:firstLineChars="200"/>
        <w:jc w:val="left"/>
        <w:rPr>
          <w:sz w:val="24"/>
        </w:rPr>
      </w:pPr>
      <w:r>
        <w:rPr>
          <w:rFonts w:hint="eastAsia"/>
          <w:sz w:val="24"/>
        </w:rPr>
        <w:t>（5）各部位的标志线应清晰、不反光，无明显虚边，与面层结合牢固，各标志线，包括标志点的长度、位置的准确度应符合最新版国际田联《田径场地设施标准手册》中的有关规定；</w:t>
      </w:r>
    </w:p>
    <w:p>
      <w:pPr>
        <w:spacing w:line="360" w:lineRule="auto"/>
        <w:ind w:firstLine="480" w:firstLineChars="200"/>
        <w:jc w:val="left"/>
        <w:rPr>
          <w:sz w:val="24"/>
        </w:rPr>
      </w:pPr>
      <w:r>
        <w:rPr>
          <w:rFonts w:hint="eastAsia"/>
          <w:sz w:val="24"/>
        </w:rPr>
        <w:t>（6）跑道平整度在任何方向和位置，在每4m的丈量距离上不能有超过6mm的起伏，在1m的丈量距离上不能有超过3mm的缺陷；不能有超过1mm落差的阶梯状起伏；中标人必须具有高精度的跑道施工设备和机械，在跑道铺装过程中满足国际田联对平整度的要求；</w:t>
      </w:r>
    </w:p>
    <w:p>
      <w:pPr>
        <w:spacing w:line="360" w:lineRule="auto"/>
        <w:ind w:firstLine="480" w:firstLineChars="200"/>
        <w:jc w:val="left"/>
        <w:rPr>
          <w:sz w:val="24"/>
        </w:rPr>
      </w:pPr>
      <w:r>
        <w:rPr>
          <w:rFonts w:hint="eastAsia"/>
          <w:sz w:val="24"/>
        </w:rPr>
        <w:t>（7）跑道各部位的厚度要求见业主提供的图纸，中标人需严格执行；</w:t>
      </w:r>
    </w:p>
    <w:p>
      <w:pPr>
        <w:spacing w:line="360" w:lineRule="auto"/>
        <w:ind w:firstLine="480" w:firstLineChars="200"/>
        <w:jc w:val="left"/>
        <w:rPr>
          <w:sz w:val="24"/>
        </w:rPr>
      </w:pPr>
      <w:r>
        <w:rPr>
          <w:rFonts w:hint="eastAsia"/>
          <w:sz w:val="24"/>
        </w:rPr>
        <w:t>（8）塑胶配料中甲组乙组配料比不得超过1:3，黑颗粒用量不得超过20%，无机填料用量不得超过55%；</w:t>
      </w:r>
    </w:p>
    <w:p>
      <w:pPr>
        <w:spacing w:line="360" w:lineRule="auto"/>
        <w:ind w:firstLine="480" w:firstLineChars="200"/>
        <w:jc w:val="left"/>
        <w:rPr>
          <w:sz w:val="24"/>
        </w:rPr>
      </w:pPr>
      <w:r>
        <w:rPr>
          <w:rFonts w:hint="eastAsia"/>
          <w:sz w:val="24"/>
        </w:rPr>
        <w:t>（9）如果采用有颗粒型的塑胶面层，塑胶表层颗粒必须采用优质PU颗粒，且在颗粒施工完成后不得再在表层添加一层胶以防止颗粒脱落，必须采用先进可行的施工工艺保证95%以上的表层颗粒不会脱落；</w:t>
      </w:r>
    </w:p>
    <w:p>
      <w:pPr>
        <w:spacing w:line="360" w:lineRule="auto"/>
        <w:ind w:firstLine="480" w:firstLineChars="200"/>
        <w:jc w:val="left"/>
        <w:rPr>
          <w:sz w:val="24"/>
        </w:rPr>
      </w:pPr>
      <w:r>
        <w:rPr>
          <w:rFonts w:hint="eastAsia"/>
          <w:sz w:val="24"/>
        </w:rPr>
        <w:t>（10）塑胶跑道的颜料和主要助剂如抗老化剂、紫外线吸收剂、抗氧化剂、抗霉剂等必须为优质产品；</w:t>
      </w:r>
    </w:p>
    <w:p>
      <w:pPr>
        <w:spacing w:line="360" w:lineRule="auto"/>
        <w:ind w:firstLine="480" w:firstLineChars="200"/>
        <w:jc w:val="left"/>
        <w:rPr>
          <w:sz w:val="24"/>
        </w:rPr>
      </w:pPr>
      <w:r>
        <w:rPr>
          <w:rFonts w:hint="eastAsia"/>
          <w:sz w:val="24"/>
        </w:rPr>
        <w:t>（11）环保型双组份水固化面层材料中；有机溶剂≤50mg/kg；游离异氰酸酯≤20mg/kg；</w:t>
      </w:r>
    </w:p>
    <w:p>
      <w:pPr>
        <w:spacing w:line="360" w:lineRule="auto"/>
        <w:ind w:firstLine="480" w:firstLineChars="200"/>
        <w:jc w:val="left"/>
        <w:rPr>
          <w:sz w:val="24"/>
        </w:rPr>
      </w:pPr>
      <w:r>
        <w:rPr>
          <w:rFonts w:hint="eastAsia"/>
          <w:sz w:val="24"/>
        </w:rPr>
        <w:t>（12）环保型双组份水固化面层材料在标准老化箱内加速老化试验168h后，拉伸强度和拉断伸长率应满足表1要求；</w:t>
      </w:r>
    </w:p>
    <w:p>
      <w:pPr>
        <w:spacing w:line="360" w:lineRule="auto"/>
        <w:ind w:firstLine="480" w:firstLineChars="200"/>
        <w:jc w:val="left"/>
        <w:rPr>
          <w:sz w:val="24"/>
        </w:rPr>
      </w:pPr>
      <w:r>
        <w:rPr>
          <w:rFonts w:hint="eastAsia"/>
          <w:sz w:val="24"/>
        </w:rPr>
        <w:t>（13）环保型双组份水固化面层材料中；重金属铅不大于90mg/kg，镉不大于10mg/kg，铬不大于10mg/kg，汞不大于2mg/kg；</w:t>
      </w:r>
    </w:p>
    <w:p>
      <w:pPr>
        <w:spacing w:line="360" w:lineRule="auto"/>
        <w:ind w:firstLine="480" w:firstLineChars="200"/>
        <w:jc w:val="left"/>
        <w:rPr>
          <w:sz w:val="24"/>
        </w:rPr>
      </w:pPr>
      <w:r>
        <w:rPr>
          <w:rFonts w:hint="eastAsia"/>
          <w:sz w:val="24"/>
        </w:rPr>
        <w:t>（14）面层材料的物理机械性能应符合表1要求：</w:t>
      </w:r>
    </w:p>
    <w:p>
      <w:pPr>
        <w:spacing w:line="360" w:lineRule="auto"/>
        <w:ind w:firstLine="480" w:firstLineChars="200"/>
        <w:jc w:val="left"/>
        <w:rPr>
          <w:sz w:val="24"/>
        </w:rPr>
      </w:pPr>
      <w:r>
        <w:rPr>
          <w:rFonts w:hint="eastAsia"/>
          <w:sz w:val="24"/>
        </w:rPr>
        <w:t>表1 面层材料的物理机械性能要求</w:t>
      </w:r>
    </w:p>
    <w:tbl>
      <w:tblPr>
        <w:tblStyle w:val="43"/>
        <w:tblW w:w="852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134"/>
        <w:gridCol w:w="1134"/>
        <w:gridCol w:w="1417"/>
        <w:gridCol w:w="1429"/>
        <w:gridCol w:w="1406"/>
        <w:gridCol w:w="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1" w:hRule="atLeast"/>
          <w:jc w:val="center"/>
        </w:trPr>
        <w:tc>
          <w:tcPr>
            <w:tcW w:w="1101" w:type="dxa"/>
            <w:shd w:val="clear" w:color="auto" w:fill="auto"/>
            <w:vAlign w:val="center"/>
          </w:tcPr>
          <w:p>
            <w:pPr>
              <w:spacing w:line="360" w:lineRule="auto"/>
              <w:ind w:firstLine="420" w:firstLineChars="200"/>
              <w:jc w:val="left"/>
              <w:rPr>
                <w:rFonts w:hAnsi="宋体"/>
              </w:rPr>
            </w:pPr>
            <w:r>
              <w:rPr>
                <w:rFonts w:hint="eastAsia" w:hAnsi="宋体"/>
              </w:rPr>
              <w:t>面层类型</w:t>
            </w:r>
          </w:p>
        </w:tc>
        <w:tc>
          <w:tcPr>
            <w:tcW w:w="1134" w:type="dxa"/>
            <w:shd w:val="clear" w:color="auto" w:fill="auto"/>
            <w:vAlign w:val="center"/>
          </w:tcPr>
          <w:p>
            <w:pPr>
              <w:spacing w:line="360" w:lineRule="auto"/>
              <w:ind w:firstLine="420" w:firstLineChars="200"/>
              <w:jc w:val="left"/>
              <w:rPr>
                <w:rFonts w:hAnsi="宋体"/>
              </w:rPr>
            </w:pPr>
            <w:r>
              <w:rPr>
                <w:rFonts w:hint="eastAsia" w:hAnsi="宋体"/>
              </w:rPr>
              <w:t>拉伸强度MPa</w:t>
            </w:r>
          </w:p>
        </w:tc>
        <w:tc>
          <w:tcPr>
            <w:tcW w:w="1134" w:type="dxa"/>
            <w:shd w:val="clear" w:color="auto" w:fill="auto"/>
            <w:vAlign w:val="center"/>
          </w:tcPr>
          <w:p>
            <w:pPr>
              <w:spacing w:line="360" w:lineRule="auto"/>
              <w:ind w:firstLine="420" w:firstLineChars="200"/>
              <w:jc w:val="left"/>
              <w:rPr>
                <w:rFonts w:hAnsi="宋体"/>
              </w:rPr>
            </w:pPr>
            <w:r>
              <w:rPr>
                <w:rFonts w:hint="eastAsia" w:hAnsi="宋体"/>
              </w:rPr>
              <w:t>拉断伸长率%</w:t>
            </w:r>
          </w:p>
        </w:tc>
        <w:tc>
          <w:tcPr>
            <w:tcW w:w="1417" w:type="dxa"/>
            <w:shd w:val="clear" w:color="auto" w:fill="auto"/>
            <w:vAlign w:val="center"/>
          </w:tcPr>
          <w:p>
            <w:pPr>
              <w:spacing w:line="360" w:lineRule="auto"/>
              <w:ind w:firstLine="420" w:firstLineChars="200"/>
              <w:jc w:val="left"/>
              <w:rPr>
                <w:rFonts w:hAnsi="宋体"/>
              </w:rPr>
            </w:pPr>
            <w:r>
              <w:rPr>
                <w:rFonts w:hint="eastAsia" w:hAnsi="宋体"/>
              </w:rPr>
              <w:t>冲击吸收（10-40℃）%</w:t>
            </w:r>
          </w:p>
        </w:tc>
        <w:tc>
          <w:tcPr>
            <w:tcW w:w="1429" w:type="dxa"/>
            <w:shd w:val="clear" w:color="auto" w:fill="auto"/>
            <w:vAlign w:val="center"/>
          </w:tcPr>
          <w:p>
            <w:pPr>
              <w:spacing w:line="360" w:lineRule="auto"/>
              <w:ind w:firstLine="420" w:firstLineChars="200"/>
              <w:jc w:val="left"/>
              <w:rPr>
                <w:rFonts w:hAnsi="宋体"/>
              </w:rPr>
            </w:pPr>
            <w:r>
              <w:rPr>
                <w:rFonts w:hint="eastAsia" w:hAnsi="宋体"/>
              </w:rPr>
              <w:t>垂直变形（10-40℃）%</w:t>
            </w:r>
          </w:p>
        </w:tc>
        <w:tc>
          <w:tcPr>
            <w:tcW w:w="1406" w:type="dxa"/>
            <w:shd w:val="clear" w:color="auto" w:fill="auto"/>
            <w:vAlign w:val="center"/>
          </w:tcPr>
          <w:p>
            <w:pPr>
              <w:spacing w:line="360" w:lineRule="auto"/>
              <w:ind w:firstLine="420" w:firstLineChars="200"/>
              <w:jc w:val="left"/>
              <w:rPr>
                <w:rFonts w:hAnsi="宋体"/>
              </w:rPr>
            </w:pPr>
            <w:r>
              <w:rPr>
                <w:rFonts w:hint="eastAsia" w:hAnsi="宋体"/>
              </w:rPr>
              <w:t>抗滑值BPN20℃</w:t>
            </w:r>
          </w:p>
        </w:tc>
        <w:tc>
          <w:tcPr>
            <w:tcW w:w="907" w:type="dxa"/>
            <w:shd w:val="clear" w:color="auto" w:fill="auto"/>
            <w:vAlign w:val="center"/>
          </w:tcPr>
          <w:p>
            <w:pPr>
              <w:spacing w:line="360" w:lineRule="auto"/>
              <w:ind w:firstLine="420" w:firstLineChars="200"/>
              <w:jc w:val="left"/>
              <w:rPr>
                <w:rFonts w:hAnsi="宋体"/>
              </w:rPr>
            </w:pPr>
            <w:r>
              <w:rPr>
                <w:rFonts w:hint="eastAsia" w:hAnsi="宋体"/>
              </w:rPr>
              <w:t>阻燃性（级）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67" w:hRule="atLeast"/>
          <w:jc w:val="center"/>
        </w:trPr>
        <w:tc>
          <w:tcPr>
            <w:tcW w:w="1101" w:type="dxa"/>
            <w:shd w:val="clear" w:color="auto" w:fill="auto"/>
            <w:vAlign w:val="center"/>
          </w:tcPr>
          <w:p>
            <w:pPr>
              <w:spacing w:line="360" w:lineRule="auto"/>
              <w:ind w:firstLine="420" w:firstLineChars="200"/>
              <w:jc w:val="left"/>
              <w:rPr>
                <w:rFonts w:hAnsi="宋体"/>
              </w:rPr>
            </w:pPr>
            <w:r>
              <w:rPr>
                <w:rFonts w:hint="eastAsia" w:hAnsi="宋体"/>
              </w:rPr>
              <w:t>环保型双组份水固化面层材料</w:t>
            </w:r>
          </w:p>
        </w:tc>
        <w:tc>
          <w:tcPr>
            <w:tcW w:w="1134" w:type="dxa"/>
            <w:shd w:val="clear" w:color="auto" w:fill="auto"/>
            <w:vAlign w:val="center"/>
          </w:tcPr>
          <w:p>
            <w:pPr>
              <w:spacing w:line="360" w:lineRule="auto"/>
              <w:ind w:firstLine="420" w:firstLineChars="200"/>
              <w:jc w:val="left"/>
              <w:rPr>
                <w:rFonts w:hAnsi="宋体"/>
              </w:rPr>
            </w:pPr>
            <w:r>
              <w:rPr>
                <w:rFonts w:hint="eastAsia" w:hAnsi="宋体"/>
              </w:rPr>
              <w:t>≥0.50</w:t>
            </w:r>
          </w:p>
        </w:tc>
        <w:tc>
          <w:tcPr>
            <w:tcW w:w="1134" w:type="dxa"/>
            <w:shd w:val="clear" w:color="auto" w:fill="auto"/>
            <w:vAlign w:val="center"/>
          </w:tcPr>
          <w:p>
            <w:pPr>
              <w:spacing w:line="360" w:lineRule="auto"/>
              <w:ind w:firstLine="420" w:firstLineChars="200"/>
              <w:jc w:val="left"/>
              <w:rPr>
                <w:rFonts w:hAnsi="宋体"/>
              </w:rPr>
            </w:pPr>
            <w:r>
              <w:rPr>
                <w:rFonts w:hint="eastAsia" w:hAnsi="宋体"/>
              </w:rPr>
              <w:t>≥40</w:t>
            </w:r>
          </w:p>
        </w:tc>
        <w:tc>
          <w:tcPr>
            <w:tcW w:w="1417" w:type="dxa"/>
            <w:shd w:val="clear" w:color="auto" w:fill="auto"/>
            <w:vAlign w:val="center"/>
          </w:tcPr>
          <w:p>
            <w:pPr>
              <w:spacing w:line="360" w:lineRule="auto"/>
              <w:ind w:firstLine="420" w:firstLineChars="200"/>
              <w:jc w:val="left"/>
              <w:rPr>
                <w:rFonts w:hAnsi="宋体"/>
              </w:rPr>
            </w:pPr>
            <w:r>
              <w:rPr>
                <w:rFonts w:hint="eastAsia" w:hAnsi="宋体"/>
              </w:rPr>
              <w:t>35～50</w:t>
            </w:r>
          </w:p>
        </w:tc>
        <w:tc>
          <w:tcPr>
            <w:tcW w:w="1429" w:type="dxa"/>
            <w:shd w:val="clear" w:color="auto" w:fill="auto"/>
            <w:vAlign w:val="center"/>
          </w:tcPr>
          <w:p>
            <w:pPr>
              <w:spacing w:line="360" w:lineRule="auto"/>
              <w:ind w:firstLine="420" w:firstLineChars="200"/>
              <w:jc w:val="left"/>
              <w:rPr>
                <w:rFonts w:hAnsi="宋体"/>
              </w:rPr>
            </w:pPr>
            <w:r>
              <w:rPr>
                <w:rFonts w:hint="eastAsia" w:hAnsi="宋体"/>
              </w:rPr>
              <w:t>0.6～2.5</w:t>
            </w:r>
          </w:p>
        </w:tc>
        <w:tc>
          <w:tcPr>
            <w:tcW w:w="1406" w:type="dxa"/>
            <w:shd w:val="clear" w:color="auto" w:fill="auto"/>
            <w:vAlign w:val="center"/>
          </w:tcPr>
          <w:p>
            <w:pPr>
              <w:spacing w:line="360" w:lineRule="auto"/>
              <w:ind w:firstLine="420" w:firstLineChars="200"/>
              <w:jc w:val="left"/>
              <w:rPr>
                <w:rFonts w:hAnsi="宋体"/>
              </w:rPr>
            </w:pPr>
            <w:r>
              <w:rPr>
                <w:rFonts w:hint="eastAsia" w:hAnsi="宋体"/>
              </w:rPr>
              <w:t>≥47</w:t>
            </w:r>
          </w:p>
        </w:tc>
        <w:tc>
          <w:tcPr>
            <w:tcW w:w="907" w:type="dxa"/>
            <w:shd w:val="clear" w:color="auto" w:fill="auto"/>
            <w:vAlign w:val="center"/>
          </w:tcPr>
          <w:p>
            <w:pPr>
              <w:spacing w:line="360" w:lineRule="auto"/>
              <w:ind w:firstLine="420" w:firstLineChars="200"/>
              <w:jc w:val="left"/>
              <w:rPr>
                <w:rFonts w:hAnsi="宋体"/>
              </w:rPr>
            </w:pPr>
            <w:r>
              <w:rPr>
                <w:rFonts w:hint="eastAsia" w:hAnsi="宋体"/>
              </w:rPr>
              <w:t>1</w:t>
            </w:r>
          </w:p>
        </w:tc>
      </w:tr>
    </w:tbl>
    <w:p>
      <w:pPr>
        <w:spacing w:line="360" w:lineRule="auto"/>
        <w:ind w:firstLine="480" w:firstLineChars="200"/>
        <w:jc w:val="left"/>
        <w:rPr>
          <w:sz w:val="24"/>
        </w:rPr>
      </w:pPr>
      <w:r>
        <w:rPr>
          <w:rFonts w:hint="eastAsia"/>
          <w:sz w:val="24"/>
        </w:rPr>
        <w:t>（15）在施工过程中，业主及监理工程师将根据规定，以每2000㎡为一个抽样单元，在中标人产品运至现场后进行随机取样，检测样品必须送至官方认可的并具有检测资质的检测实验室进行检测，并根据需要进行材料的化学成分分析检测，检测费用包含在投标报价中；</w:t>
      </w:r>
    </w:p>
    <w:p>
      <w:pPr>
        <w:spacing w:line="360" w:lineRule="auto"/>
        <w:ind w:firstLine="480" w:firstLineChars="200"/>
        <w:jc w:val="left"/>
        <w:rPr>
          <w:sz w:val="24"/>
        </w:rPr>
      </w:pPr>
      <w:r>
        <w:rPr>
          <w:rFonts w:hint="eastAsia"/>
          <w:sz w:val="24"/>
        </w:rPr>
        <w:t>（16）产品制造商需通过ISO9001质量管理体系认证、ISO14001环境管理体系认证、OHSAS18001职业健康安全管理体系认证。</w:t>
      </w:r>
    </w:p>
    <w:p>
      <w:pPr>
        <w:spacing w:before="360" w:beforeLines="150" w:after="120" w:afterLines="50" w:line="360" w:lineRule="auto"/>
        <w:jc w:val="center"/>
        <w:rPr>
          <w:b/>
          <w:sz w:val="28"/>
          <w:szCs w:val="28"/>
        </w:rPr>
      </w:pPr>
      <w:r>
        <w:rPr>
          <w:rFonts w:hint="eastAsia"/>
          <w:b/>
          <w:sz w:val="28"/>
          <w:szCs w:val="28"/>
        </w:rPr>
        <w:t>第六节  特别要求</w:t>
      </w:r>
    </w:p>
    <w:p>
      <w:pPr>
        <w:spacing w:line="360" w:lineRule="auto"/>
        <w:ind w:firstLine="480" w:firstLineChars="200"/>
        <w:jc w:val="left"/>
        <w:rPr>
          <w:sz w:val="24"/>
        </w:rPr>
      </w:pPr>
      <w:r>
        <w:rPr>
          <w:rFonts w:hint="eastAsia"/>
          <w:sz w:val="24"/>
        </w:rPr>
        <w:t>一、工程施工期间，中标单位必须确保周边建筑物、构筑物、管线、设施及周边环境不受到破坏和损伤。有关技术安全措施费已包含在投标报价中。若有任何损坏，须立即通知有关部门和建设单位，并由中标单位自行承担损失及全部修复费用。</w:t>
      </w:r>
    </w:p>
    <w:p>
      <w:pPr>
        <w:spacing w:line="360" w:lineRule="auto"/>
        <w:ind w:firstLine="480" w:firstLineChars="200"/>
        <w:jc w:val="left"/>
        <w:rPr>
          <w:sz w:val="24"/>
        </w:rPr>
      </w:pPr>
      <w:r>
        <w:rPr>
          <w:rFonts w:hint="eastAsia"/>
          <w:sz w:val="24"/>
        </w:rPr>
        <w:t>二、工程所选建筑原材料应符合相关规范要求，使用前应向监理工程师提供产品出厂合格证、试验资料等质量证明文件，由监理工程师进行抽样有见证送检，经有资质质量检测部门认证合格后，方可使用，未经检验或检验不合格的产品不得用于本工程施工。对分包单位工程所用材料提前督促通知其送检和报审，若因此耽误，责任将由总包和分包单位承担。</w:t>
      </w:r>
    </w:p>
    <w:p>
      <w:pPr>
        <w:tabs>
          <w:tab w:val="left" w:pos="1176"/>
        </w:tabs>
        <w:spacing w:line="360" w:lineRule="auto"/>
        <w:ind w:firstLine="480" w:firstLineChars="200"/>
        <w:rPr>
          <w:sz w:val="24"/>
        </w:rPr>
      </w:pPr>
      <w:r>
        <w:rPr>
          <w:rFonts w:hint="eastAsia"/>
          <w:sz w:val="24"/>
        </w:rPr>
        <w:t>三、钢材连接须进行工艺试验，抽样送检合格，经监理工程师审查后方可进行施工。</w:t>
      </w:r>
    </w:p>
    <w:p>
      <w:pPr>
        <w:tabs>
          <w:tab w:val="left" w:pos="1176"/>
        </w:tabs>
        <w:spacing w:line="360" w:lineRule="auto"/>
        <w:ind w:firstLine="480" w:firstLineChars="200"/>
        <w:rPr>
          <w:sz w:val="24"/>
        </w:rPr>
      </w:pPr>
      <w:r>
        <w:rPr>
          <w:rFonts w:hint="eastAsia"/>
          <w:sz w:val="24"/>
        </w:rPr>
        <w:t>四、砂、石需进行各项试验，严禁使用海砂。</w:t>
      </w:r>
    </w:p>
    <w:p>
      <w:pPr>
        <w:tabs>
          <w:tab w:val="left" w:pos="1176"/>
        </w:tabs>
        <w:spacing w:line="360" w:lineRule="auto"/>
        <w:ind w:firstLine="480" w:firstLineChars="200"/>
        <w:rPr>
          <w:sz w:val="24"/>
        </w:rPr>
      </w:pPr>
      <w:r>
        <w:rPr>
          <w:rFonts w:hint="eastAsia"/>
          <w:sz w:val="24"/>
        </w:rPr>
        <w:t>五、混凝土用量大的工程，承包商需充分考虑商品混凝土供应商的供货能力、产品质量和服务。</w:t>
      </w:r>
    </w:p>
    <w:p>
      <w:pPr>
        <w:tabs>
          <w:tab w:val="left" w:pos="1176"/>
        </w:tabs>
        <w:spacing w:line="360" w:lineRule="auto"/>
        <w:ind w:firstLine="480" w:firstLineChars="200"/>
        <w:rPr>
          <w:sz w:val="24"/>
        </w:rPr>
      </w:pPr>
      <w:r>
        <w:rPr>
          <w:rFonts w:hint="eastAsia"/>
          <w:sz w:val="24"/>
        </w:rPr>
        <w:t>六、工程所使用的混凝土，全部采用商品混凝土，禁止使用含有氯盐的外加剂，粗骨料禁止采用卵石。砂浆全部采用预拌砂浆（不得现场搅拌）。</w:t>
      </w:r>
    </w:p>
    <w:p>
      <w:pPr>
        <w:tabs>
          <w:tab w:val="left" w:pos="1176"/>
        </w:tabs>
        <w:spacing w:line="360" w:lineRule="auto"/>
        <w:ind w:firstLine="480" w:firstLineChars="200"/>
        <w:rPr>
          <w:sz w:val="24"/>
        </w:rPr>
      </w:pPr>
      <w:r>
        <w:rPr>
          <w:rFonts w:hint="eastAsia"/>
          <w:sz w:val="24"/>
        </w:rPr>
        <w:t>七、承包人需配备现场安全主任，专职安全员、质量检查员，建立完善的自检制度，做好自检记录，接受发包人、监理工程师和主管部门的检查监督，确保工程质量与工程安全。</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八、凡属隐蔽工程，承包人应提前24小时通知监理工程师，派人进行隐蔽工程验收并由总监理工程师书面签署隐蔽验收意见。未经验收的隐蔽工程，承包人不得自行隐蔽。各项隐蔽工程验收记录、报告，材料试验报告等均要作为技术档案资料保存，并同竣工图一并归档。</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九、</w:t>
      </w:r>
      <w:r>
        <w:rPr>
          <w:rFonts w:hint="eastAsia" w:ascii="Calibri" w:hAnsi="Calibri"/>
          <w:sz w:val="24"/>
          <w:szCs w:val="22"/>
        </w:rPr>
        <w:t>所有建筑装修项目在施工前严格执行样板制度，由设计、监理、建设单位确认后方可展开大面积施工。</w:t>
      </w:r>
    </w:p>
    <w:p>
      <w:pPr>
        <w:tabs>
          <w:tab w:val="left" w:pos="1176"/>
        </w:tabs>
        <w:spacing w:line="360" w:lineRule="auto"/>
        <w:ind w:firstLine="480" w:firstLineChars="200"/>
        <w:rPr>
          <w:sz w:val="24"/>
        </w:rPr>
      </w:pPr>
      <w:r>
        <w:rPr>
          <w:rFonts w:hint="eastAsia"/>
          <w:sz w:val="24"/>
        </w:rPr>
        <w:t>十、建筑装饰装修工程施工中，严禁违反设计擅自改动建筑主体、承重结构或主要使用功能，严禁未经监理及业主确认拆改水、暖、电、燃气、通风等配套设施。</w:t>
      </w:r>
    </w:p>
    <w:p>
      <w:pPr>
        <w:tabs>
          <w:tab w:val="left" w:pos="1176"/>
        </w:tabs>
        <w:spacing w:line="360" w:lineRule="auto"/>
        <w:ind w:firstLine="480" w:firstLineChars="200"/>
        <w:rPr>
          <w:sz w:val="24"/>
        </w:rPr>
      </w:pPr>
      <w:r>
        <w:rPr>
          <w:rFonts w:hint="eastAsia"/>
          <w:sz w:val="24"/>
        </w:rPr>
        <w:t>十一、如果设计中某些材料或招标文件中的某些参考品牌材料存在采购难度很大的问题，要求施工单位在投标过程中提出，否则，承包商不得以上述情况作为工期延误的理由。</w:t>
      </w:r>
    </w:p>
    <w:p>
      <w:pPr>
        <w:tabs>
          <w:tab w:val="left" w:pos="1176"/>
        </w:tabs>
        <w:spacing w:line="360" w:lineRule="auto"/>
        <w:ind w:firstLine="480" w:firstLineChars="200"/>
        <w:rPr>
          <w:sz w:val="24"/>
        </w:rPr>
      </w:pPr>
      <w:r>
        <w:rPr>
          <w:rFonts w:hint="eastAsia"/>
          <w:sz w:val="24"/>
        </w:rPr>
        <w:t>十二、门、窗洞口尺寸严格按规范控制，由于施工误差达不到门窗安装要求，将必须按监理要求无条件返工处理到合格。</w:t>
      </w:r>
    </w:p>
    <w:p>
      <w:pPr>
        <w:tabs>
          <w:tab w:val="left" w:pos="1176"/>
        </w:tabs>
        <w:spacing w:line="360" w:lineRule="auto"/>
        <w:ind w:firstLine="480" w:firstLineChars="200"/>
        <w:rPr>
          <w:sz w:val="24"/>
        </w:rPr>
      </w:pPr>
      <w:r>
        <w:rPr>
          <w:rFonts w:hint="eastAsia"/>
          <w:sz w:val="24"/>
        </w:rPr>
        <w:t>十三、墙面、地面的抹灰工程必须达到高级抹灰标准，由于施工误差达不到精装修要求，将必须按监理要求无条件返工处理到合格。</w:t>
      </w:r>
    </w:p>
    <w:p>
      <w:pPr>
        <w:tabs>
          <w:tab w:val="left" w:pos="1176"/>
        </w:tabs>
        <w:spacing w:line="360" w:lineRule="auto"/>
        <w:ind w:firstLine="480" w:firstLineChars="200"/>
        <w:rPr>
          <w:sz w:val="24"/>
        </w:rPr>
      </w:pPr>
      <w:r>
        <w:rPr>
          <w:rFonts w:hint="eastAsia"/>
          <w:sz w:val="24"/>
        </w:rPr>
        <w:t>十四、预埋套管、预埋件、预留洞由于施工误差产生的一切费用均由承包人负责。</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十五、在进行桩基施工时，若碰到施工场地为流砂或其它不利于施工的土质时，承包人需考虑采取措施之后再进行施工。有关措施的费用包含在投标报价中。</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十六、中标人负责设置主体结构沉降、位移监测点，并在施工期间负责对主体、周边建筑物进行沉降、位移的监测。</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十七、承包人的深化设计图纸须报经设计、业主、监理审核确认后实施，此费用在投标报价时已综合考虑，不得因现场条件或设计不同增加费用。</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 xml:space="preserve">十八、 各部位施工前均应复核各专业图纸，不得以单专业图纸做为唯一施工依据进行施工。遇到图纸有矛盾之处或图示做法、意图无法实现时，请及时与设计院专业负责人或工程主持人联系，协商解决。变更图纸必须事先与设计人员协商，根据各专业的条件，许可后方可变更。    </w:t>
      </w:r>
    </w:p>
    <w:p>
      <w:pPr>
        <w:spacing w:before="360" w:beforeLines="150" w:after="120" w:afterLines="50" w:line="360" w:lineRule="auto"/>
        <w:jc w:val="center"/>
        <w:rPr>
          <w:b/>
          <w:sz w:val="32"/>
          <w:szCs w:val="32"/>
        </w:rPr>
      </w:pPr>
      <w:r>
        <w:rPr>
          <w:rFonts w:hint="eastAsia"/>
          <w:b/>
          <w:sz w:val="32"/>
          <w:szCs w:val="32"/>
        </w:rPr>
        <w:t xml:space="preserve"> </w:t>
      </w:r>
      <w:r>
        <w:rPr>
          <w:b/>
          <w:sz w:val="32"/>
          <w:szCs w:val="32"/>
        </w:rPr>
        <w:t xml:space="preserve"> </w:t>
      </w:r>
    </w:p>
    <w:p>
      <w:pPr>
        <w:spacing w:before="360" w:beforeLines="150" w:after="120" w:afterLines="50" w:line="360" w:lineRule="auto"/>
        <w:jc w:val="center"/>
        <w:rPr>
          <w:b/>
          <w:sz w:val="32"/>
          <w:szCs w:val="32"/>
        </w:rPr>
      </w:pPr>
      <w:r>
        <w:rPr>
          <w:b/>
          <w:sz w:val="32"/>
          <w:szCs w:val="32"/>
        </w:rPr>
        <w:br w:type="page"/>
      </w:r>
    </w:p>
    <w:p>
      <w:pPr>
        <w:spacing w:before="360" w:beforeLines="150" w:after="120" w:afterLines="50" w:line="360" w:lineRule="auto"/>
        <w:jc w:val="center"/>
        <w:rPr>
          <w:b/>
          <w:sz w:val="32"/>
          <w:szCs w:val="32"/>
        </w:rPr>
      </w:pPr>
      <w:r>
        <w:rPr>
          <w:rFonts w:hint="eastAsia"/>
          <w:b/>
          <w:sz w:val="36"/>
          <w:szCs w:val="36"/>
        </w:rPr>
        <w:t xml:space="preserve">第三章 </w:t>
      </w:r>
      <w:r>
        <w:rPr>
          <w:b/>
          <w:sz w:val="36"/>
          <w:szCs w:val="36"/>
        </w:rPr>
        <w:t xml:space="preserve"> </w:t>
      </w:r>
      <w:r>
        <w:rPr>
          <w:rFonts w:hint="eastAsia"/>
          <w:b/>
          <w:sz w:val="36"/>
          <w:szCs w:val="36"/>
        </w:rPr>
        <w:t>土建工程材料技术要求</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一、总说明：</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（一）所用材料的品种、规格和质量须符合设计要求和国家现行标准的规定。当设计无要求时应符合国家现行标准的规定，严禁使用国家明令淘汰的材料；</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（二）所用材料的燃烧性应符合现行国家标准《建筑内部装修设计防火规范》（GB50222-95  2001版）、《建筑设计防火规范》（</w:t>
      </w:r>
      <w:r>
        <w:rPr>
          <w:rFonts w:ascii="Calibri" w:hAnsi="Calibri"/>
          <w:kern w:val="2"/>
          <w:sz w:val="24"/>
          <w:szCs w:val="22"/>
        </w:rPr>
        <w:t>GB 50016--2006</w:t>
      </w:r>
      <w:r>
        <w:rPr>
          <w:rFonts w:hint="eastAsia" w:ascii="Calibri" w:hAnsi="Calibri"/>
          <w:kern w:val="2"/>
          <w:sz w:val="24"/>
          <w:szCs w:val="22"/>
        </w:rPr>
        <w:t>）和《高层民用建筑设计防火规范》（GB50045-95 2005版）的规定；</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三）所用材料应绿色环保要求：符合国家有关建筑装饰装修材料有害物质限量标准的规定；并具有国家权威检测机构颁发的绿色环保安全使用证书，并保证工程完工后经深圳市环境检测权威机构检测各项安全指标达到《民用建筑工程室内环境污染控制规范》GB50325—2001等环保要求，若达不到规范各项指标要求，承包人负责返工并承担全部返工费用及相关检测费用，发包人保留按合同规定索赔的权力。</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（四）所有材料进场时应对品种、规格、外观和尺寸进行验收。材料包装应完好，应有产品合格证书、中文说明书及相关性能的检测报告；进口产品应按规定进行商品检验。</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(五) 进场后需进行复检的材料种类及项目应符合《建筑装饰装修工程质量验收规范》（GB50210-2001）各章的规定。同一厂家生产的同一品种、同一类型的进场材料应至少抽取一组样品进行复检，当合同另有约定时应按合同执行。</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（六）应对材料进行见证检测情况：国家规定或合同约定；对材料的质量发生争议时；</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（七）承担建筑装饰装修材料检测的单位应具备相应的资质，并应建立质量管理体系；</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（八）建筑装饰装修工程所使用的材料在运输、储存和施工过程中，必须采取有效措施防止损坏，变质和污染环境。</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（九）建筑装饰装修工程所使用的材料应按设计要求进行防火、防腐和防虫处理；</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（十）现场配制的材料如砂浆、胶粘剂等，应按设计要求或产品说明书配制；</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（十一</w:t>
      </w:r>
      <w:r>
        <w:rPr>
          <w:rFonts w:ascii="Calibri" w:hAnsi="Calibri"/>
          <w:kern w:val="2"/>
          <w:sz w:val="24"/>
          <w:szCs w:val="22"/>
        </w:rPr>
        <w:t>）</w:t>
      </w:r>
      <w:r>
        <w:rPr>
          <w:rFonts w:hint="eastAsia" w:ascii="Calibri" w:hAnsi="Calibri"/>
          <w:kern w:val="2"/>
          <w:sz w:val="24"/>
          <w:szCs w:val="22"/>
        </w:rPr>
        <w:t>复层涂料应符合GB/T9779-88（要求采用一级品及以上）；</w:t>
      </w:r>
    </w:p>
    <w:p>
      <w:pPr>
        <w:pStyle w:val="21"/>
        <w:tabs>
          <w:tab w:val="left" w:pos="0"/>
        </w:tabs>
        <w:spacing w:line="360" w:lineRule="auto"/>
        <w:ind w:firstLine="480" w:firstLineChars="200"/>
        <w:rPr>
          <w:rFonts w:ascii="Calibri" w:hAnsi="Calibri"/>
          <w:kern w:val="2"/>
          <w:sz w:val="24"/>
          <w:szCs w:val="22"/>
        </w:rPr>
      </w:pPr>
      <w:r>
        <w:rPr>
          <w:rFonts w:hint="eastAsia" w:ascii="Calibri" w:hAnsi="Calibri"/>
          <w:kern w:val="2"/>
          <w:sz w:val="24"/>
          <w:szCs w:val="22"/>
        </w:rPr>
        <w:t>二、承包人施工前2个星期提供主要材料的品牌和厂家报监理、设计、甲方和使用单位（必要时）审批、考察、备案。凡未经审批合格或经检测不合格的材料，一律不得进场使用。否则，凡由此造成纠纷，影响工程质量、工期的由承包人承担全部经济责任。</w:t>
      </w:r>
    </w:p>
    <w:p>
      <w:pPr>
        <w:tabs>
          <w:tab w:val="left" w:pos="360"/>
          <w:tab w:val="left" w:pos="1620"/>
        </w:tabs>
        <w:spacing w:line="300" w:lineRule="auto"/>
        <w:rPr>
          <w:rFonts w:ascii="宋体" w:hAnsi="宋体"/>
          <w:b/>
          <w:bCs/>
          <w:sz w:val="30"/>
          <w:szCs w:val="18"/>
        </w:rPr>
      </w:pPr>
      <w:r>
        <w:rPr>
          <w:rFonts w:hint="eastAsia" w:ascii="宋体" w:hAnsi="宋体"/>
          <w:b/>
          <w:bCs/>
          <w:sz w:val="30"/>
          <w:szCs w:val="18"/>
        </w:rPr>
        <w:t>附表1</w:t>
      </w:r>
    </w:p>
    <w:p>
      <w:pPr>
        <w:tabs>
          <w:tab w:val="left" w:pos="360"/>
          <w:tab w:val="left" w:pos="1620"/>
        </w:tabs>
        <w:spacing w:line="300" w:lineRule="auto"/>
        <w:jc w:val="center"/>
        <w:rPr>
          <w:rFonts w:ascii="宋体" w:hAnsi="宋体"/>
          <w:b/>
          <w:bCs/>
          <w:sz w:val="30"/>
          <w:szCs w:val="18"/>
        </w:rPr>
      </w:pPr>
      <w:r>
        <w:rPr>
          <w:rFonts w:hint="eastAsia" w:ascii="宋体" w:hAnsi="宋体"/>
          <w:b/>
          <w:bCs/>
          <w:sz w:val="30"/>
          <w:szCs w:val="18"/>
        </w:rPr>
        <w:t>土建工程材料表</w:t>
      </w:r>
    </w:p>
    <w:tbl>
      <w:tblPr>
        <w:tblStyle w:val="43"/>
        <w:tblW w:w="9360" w:type="dxa"/>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472"/>
        <w:gridCol w:w="1256"/>
        <w:gridCol w:w="1080"/>
        <w:gridCol w:w="5220"/>
        <w:gridCol w:w="133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cantSplit/>
          <w:tblHeader/>
        </w:trPr>
        <w:tc>
          <w:tcPr>
            <w:tcW w:w="472" w:type="dxa"/>
            <w:vAlign w:val="center"/>
          </w:tcPr>
          <w:p>
            <w:pPr>
              <w:jc w:val="center"/>
              <w:rPr>
                <w:rFonts w:ascii="宋体" w:hAnsi="宋体"/>
                <w:b/>
                <w:szCs w:val="21"/>
              </w:rPr>
            </w:pPr>
            <w:r>
              <w:rPr>
                <w:rFonts w:hint="eastAsia" w:ascii="宋体" w:hAnsi="宋体"/>
                <w:b/>
                <w:szCs w:val="21"/>
              </w:rPr>
              <w:t>序号</w:t>
            </w:r>
          </w:p>
        </w:tc>
        <w:tc>
          <w:tcPr>
            <w:tcW w:w="1256" w:type="dxa"/>
            <w:tcBorders>
              <w:right w:val="single" w:color="auto" w:sz="4" w:space="0"/>
            </w:tcBorders>
            <w:vAlign w:val="center"/>
          </w:tcPr>
          <w:p>
            <w:pPr>
              <w:jc w:val="center"/>
              <w:rPr>
                <w:rFonts w:ascii="宋体" w:hAnsi="宋体"/>
                <w:b/>
                <w:szCs w:val="21"/>
              </w:rPr>
            </w:pPr>
            <w:r>
              <w:rPr>
                <w:rFonts w:hint="eastAsia" w:ascii="宋体" w:hAnsi="宋体"/>
                <w:b/>
                <w:szCs w:val="21"/>
              </w:rPr>
              <w:t>产品名称</w:t>
            </w:r>
          </w:p>
        </w:tc>
        <w:tc>
          <w:tcPr>
            <w:tcW w:w="1080" w:type="dxa"/>
            <w:tcBorders>
              <w:left w:val="single" w:color="auto" w:sz="4" w:space="0"/>
            </w:tcBorders>
            <w:vAlign w:val="center"/>
          </w:tcPr>
          <w:p>
            <w:pPr>
              <w:jc w:val="center"/>
              <w:rPr>
                <w:rFonts w:ascii="宋体" w:hAnsi="宋体"/>
                <w:b/>
                <w:szCs w:val="21"/>
              </w:rPr>
            </w:pPr>
            <w:r>
              <w:rPr>
                <w:rFonts w:hint="eastAsia" w:ascii="宋体" w:hAnsi="宋体"/>
                <w:b/>
                <w:szCs w:val="21"/>
              </w:rPr>
              <w:t>应用范围</w:t>
            </w:r>
          </w:p>
        </w:tc>
        <w:tc>
          <w:tcPr>
            <w:tcW w:w="5220" w:type="dxa"/>
            <w:vAlign w:val="center"/>
          </w:tcPr>
          <w:p>
            <w:pPr>
              <w:jc w:val="center"/>
              <w:rPr>
                <w:rFonts w:ascii="宋体" w:hAnsi="宋体"/>
                <w:b/>
                <w:szCs w:val="21"/>
              </w:rPr>
            </w:pPr>
            <w:r>
              <w:rPr>
                <w:rFonts w:hint="eastAsia" w:ascii="宋体" w:hAnsi="宋体"/>
                <w:b/>
                <w:szCs w:val="21"/>
              </w:rPr>
              <w:t>产品技术要求</w:t>
            </w:r>
          </w:p>
        </w:tc>
        <w:tc>
          <w:tcPr>
            <w:tcW w:w="1332" w:type="dxa"/>
            <w:vAlign w:val="center"/>
          </w:tcPr>
          <w:p>
            <w:pPr>
              <w:jc w:val="center"/>
              <w:rPr>
                <w:rFonts w:ascii="宋体" w:hAnsi="宋体"/>
                <w:b/>
                <w:szCs w:val="21"/>
              </w:rPr>
            </w:pPr>
            <w:r>
              <w:rPr>
                <w:rFonts w:hint="eastAsia" w:ascii="宋体" w:hAnsi="宋体"/>
                <w:b/>
                <w:szCs w:val="21"/>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506" w:hRule="atLeast"/>
        </w:trPr>
        <w:tc>
          <w:tcPr>
            <w:tcW w:w="472" w:type="dxa"/>
            <w:vAlign w:val="center"/>
          </w:tcPr>
          <w:p>
            <w:pPr>
              <w:jc w:val="center"/>
              <w:rPr>
                <w:rFonts w:ascii="宋体" w:hAnsi="宋体"/>
                <w:sz w:val="20"/>
                <w:szCs w:val="20"/>
              </w:rPr>
            </w:pPr>
            <w:r>
              <w:rPr>
                <w:rFonts w:hint="eastAsia" w:ascii="宋体" w:hAnsi="宋体"/>
                <w:sz w:val="20"/>
                <w:szCs w:val="20"/>
              </w:rPr>
              <w:t>1</w:t>
            </w:r>
          </w:p>
        </w:tc>
        <w:tc>
          <w:tcPr>
            <w:tcW w:w="1256"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钢材、水泥、商品混凝土及商品砂浆</w:t>
            </w:r>
          </w:p>
        </w:tc>
        <w:tc>
          <w:tcPr>
            <w:tcW w:w="1080" w:type="dxa"/>
            <w:tcBorders>
              <w:left w:val="single" w:color="auto" w:sz="4" w:space="0"/>
            </w:tcBorders>
            <w:vAlign w:val="center"/>
          </w:tcPr>
          <w:p>
            <w:pPr>
              <w:jc w:val="left"/>
              <w:rPr>
                <w:rFonts w:ascii="宋体" w:hAnsi="宋体"/>
                <w:sz w:val="20"/>
                <w:szCs w:val="20"/>
              </w:rPr>
            </w:pPr>
          </w:p>
        </w:tc>
        <w:tc>
          <w:tcPr>
            <w:tcW w:w="5220" w:type="dxa"/>
          </w:tcPr>
          <w:p>
            <w:pPr>
              <w:spacing w:line="360" w:lineRule="auto"/>
              <w:ind w:firstLine="400" w:firstLineChars="200"/>
              <w:rPr>
                <w:rFonts w:ascii="宋体" w:hAnsi="宋体"/>
                <w:sz w:val="20"/>
                <w:szCs w:val="20"/>
              </w:rPr>
            </w:pPr>
            <w:r>
              <w:rPr>
                <w:rFonts w:hint="eastAsia" w:ascii="宋体" w:hAnsi="宋体"/>
                <w:sz w:val="20"/>
                <w:szCs w:val="20"/>
              </w:rPr>
              <w:t>符合国家、地方及行业有关标准、规范、规程的相关要求。钢材供货单位应为国内大型钢材生产企业，</w:t>
            </w:r>
            <w:r>
              <w:rPr>
                <w:rFonts w:ascii="宋体" w:hAnsi="宋体"/>
                <w:sz w:val="20"/>
                <w:szCs w:val="20"/>
              </w:rPr>
              <w:t>预拌商品混凝土</w:t>
            </w:r>
            <w:r>
              <w:rPr>
                <w:rFonts w:hint="eastAsia" w:ascii="宋体" w:hAnsi="宋体"/>
                <w:sz w:val="20"/>
                <w:szCs w:val="20"/>
              </w:rPr>
              <w:t>供货单位应具备国家专业二级资质。</w:t>
            </w:r>
          </w:p>
        </w:tc>
        <w:tc>
          <w:tcPr>
            <w:tcW w:w="1332" w:type="dxa"/>
            <w:vAlign w:val="center"/>
          </w:tcPr>
          <w:p>
            <w:pPr>
              <w:jc w:val="center"/>
              <w:rPr>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506" w:hRule="atLeast"/>
        </w:trPr>
        <w:tc>
          <w:tcPr>
            <w:tcW w:w="472" w:type="dxa"/>
            <w:vAlign w:val="center"/>
          </w:tcPr>
          <w:p>
            <w:pPr>
              <w:jc w:val="center"/>
              <w:rPr>
                <w:rFonts w:ascii="宋体" w:hAnsi="宋体"/>
                <w:sz w:val="20"/>
                <w:szCs w:val="20"/>
              </w:rPr>
            </w:pPr>
            <w:r>
              <w:rPr>
                <w:rFonts w:hint="eastAsia" w:ascii="宋体" w:hAnsi="宋体"/>
                <w:sz w:val="20"/>
                <w:szCs w:val="20"/>
              </w:rPr>
              <w:t>2</w:t>
            </w:r>
          </w:p>
        </w:tc>
        <w:tc>
          <w:tcPr>
            <w:tcW w:w="1256"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灰砂砖</w:t>
            </w:r>
          </w:p>
        </w:tc>
        <w:tc>
          <w:tcPr>
            <w:tcW w:w="1080" w:type="dxa"/>
            <w:tcBorders>
              <w:left w:val="single" w:color="auto" w:sz="4" w:space="0"/>
            </w:tcBorders>
            <w:vAlign w:val="center"/>
          </w:tcPr>
          <w:p>
            <w:pPr>
              <w:jc w:val="left"/>
              <w:rPr>
                <w:rFonts w:ascii="宋体" w:hAnsi="宋体"/>
                <w:sz w:val="20"/>
                <w:szCs w:val="20"/>
              </w:rPr>
            </w:pPr>
            <w:r>
              <w:rPr>
                <w:rFonts w:hint="eastAsia" w:ascii="宋体" w:hAnsi="宋体"/>
                <w:sz w:val="20"/>
                <w:szCs w:val="20"/>
              </w:rPr>
              <w:t>砌体工程</w:t>
            </w:r>
          </w:p>
        </w:tc>
        <w:tc>
          <w:tcPr>
            <w:tcW w:w="5220" w:type="dxa"/>
          </w:tcPr>
          <w:p>
            <w:pPr>
              <w:numPr>
                <w:ilvl w:val="0"/>
                <w:numId w:val="20"/>
              </w:numPr>
              <w:tabs>
                <w:tab w:val="left" w:pos="304"/>
                <w:tab w:val="left" w:pos="855"/>
                <w:tab w:val="clear" w:pos="360"/>
              </w:tabs>
              <w:spacing w:line="340" w:lineRule="exact"/>
              <w:ind w:left="0" w:firstLine="0"/>
              <w:rPr>
                <w:rFonts w:ascii="宋体" w:hAnsi="宋体"/>
                <w:sz w:val="20"/>
                <w:szCs w:val="20"/>
              </w:rPr>
            </w:pPr>
            <w:r>
              <w:rPr>
                <w:rFonts w:hint="eastAsia" w:ascii="宋体" w:hAnsi="宋体"/>
                <w:sz w:val="20"/>
                <w:szCs w:val="20"/>
              </w:rPr>
              <w:t>应符合设计与GB/T11945-1999中优等品的有关要求，并应符合国标有关环保要求；</w:t>
            </w:r>
          </w:p>
          <w:p>
            <w:pPr>
              <w:numPr>
                <w:ilvl w:val="0"/>
                <w:numId w:val="20"/>
              </w:numPr>
              <w:tabs>
                <w:tab w:val="left" w:pos="304"/>
                <w:tab w:val="left" w:pos="855"/>
                <w:tab w:val="clear" w:pos="360"/>
              </w:tabs>
              <w:spacing w:line="340" w:lineRule="exact"/>
              <w:ind w:left="0" w:firstLine="0"/>
              <w:rPr>
                <w:rFonts w:ascii="宋体" w:hAnsi="宋体"/>
                <w:sz w:val="20"/>
                <w:szCs w:val="20"/>
              </w:rPr>
            </w:pPr>
            <w:r>
              <w:rPr>
                <w:rFonts w:hint="eastAsia" w:ascii="宋体" w:hAnsi="宋体"/>
                <w:sz w:val="20"/>
                <w:szCs w:val="20"/>
              </w:rPr>
              <w:t>砖块的强度等级要符合设计要求；容重不大于18.0KN/m2。</w:t>
            </w:r>
          </w:p>
          <w:p>
            <w:pPr>
              <w:numPr>
                <w:ilvl w:val="0"/>
                <w:numId w:val="20"/>
              </w:numPr>
              <w:tabs>
                <w:tab w:val="left" w:pos="304"/>
                <w:tab w:val="left" w:pos="855"/>
                <w:tab w:val="clear" w:pos="360"/>
              </w:tabs>
              <w:spacing w:line="340" w:lineRule="exact"/>
              <w:ind w:left="0" w:firstLine="0"/>
              <w:rPr>
                <w:rFonts w:ascii="宋体" w:hAnsi="宋体"/>
                <w:sz w:val="20"/>
                <w:szCs w:val="20"/>
              </w:rPr>
            </w:pPr>
            <w:r>
              <w:rPr>
                <w:rFonts w:hint="eastAsia" w:ascii="宋体" w:hAnsi="宋体"/>
                <w:sz w:val="20"/>
                <w:szCs w:val="20"/>
              </w:rPr>
              <w:t>提供砖块相对含水率等检测报告；</w:t>
            </w:r>
          </w:p>
        </w:tc>
        <w:tc>
          <w:tcPr>
            <w:tcW w:w="1332" w:type="dxa"/>
            <w:vAlign w:val="center"/>
          </w:tcPr>
          <w:p>
            <w:pPr>
              <w:jc w:val="center"/>
              <w:rPr>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089" w:hRule="atLeast"/>
        </w:trPr>
        <w:tc>
          <w:tcPr>
            <w:tcW w:w="472" w:type="dxa"/>
            <w:vAlign w:val="center"/>
          </w:tcPr>
          <w:p>
            <w:pPr>
              <w:jc w:val="center"/>
              <w:rPr>
                <w:rFonts w:ascii="宋体" w:hAnsi="宋体"/>
                <w:sz w:val="20"/>
                <w:szCs w:val="20"/>
              </w:rPr>
            </w:pPr>
            <w:r>
              <w:rPr>
                <w:rFonts w:hint="eastAsia" w:ascii="宋体" w:hAnsi="宋体"/>
                <w:sz w:val="20"/>
                <w:szCs w:val="20"/>
              </w:rPr>
              <w:t>3</w:t>
            </w:r>
          </w:p>
        </w:tc>
        <w:tc>
          <w:tcPr>
            <w:tcW w:w="1256"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加气混凝土砌块</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砌体工程</w:t>
            </w:r>
          </w:p>
        </w:tc>
        <w:tc>
          <w:tcPr>
            <w:tcW w:w="5220" w:type="dxa"/>
            <w:tcBorders>
              <w:left w:val="single" w:color="auto" w:sz="4" w:space="0"/>
            </w:tcBorders>
          </w:tcPr>
          <w:p>
            <w:pPr>
              <w:numPr>
                <w:ilvl w:val="0"/>
                <w:numId w:val="21"/>
              </w:numPr>
              <w:tabs>
                <w:tab w:val="left" w:pos="0"/>
                <w:tab w:val="clear" w:pos="360"/>
              </w:tabs>
              <w:spacing w:line="340" w:lineRule="exact"/>
              <w:ind w:left="0" w:firstLine="0"/>
              <w:rPr>
                <w:rFonts w:ascii="宋体" w:hAnsi="宋体"/>
                <w:sz w:val="20"/>
                <w:szCs w:val="20"/>
              </w:rPr>
            </w:pPr>
            <w:r>
              <w:rPr>
                <w:rFonts w:hint="eastAsia" w:ascii="宋体" w:hAnsi="宋体"/>
                <w:sz w:val="20"/>
                <w:szCs w:val="20"/>
              </w:rPr>
              <w:t>符合深圳市技术规范《非承重砌块墙体技术规范》SJG13-2004的要求及设计要求。</w:t>
            </w:r>
          </w:p>
          <w:p>
            <w:pPr>
              <w:numPr>
                <w:ilvl w:val="0"/>
                <w:numId w:val="21"/>
              </w:numPr>
              <w:tabs>
                <w:tab w:val="left" w:pos="0"/>
                <w:tab w:val="clear" w:pos="360"/>
              </w:tabs>
              <w:spacing w:line="340" w:lineRule="exact"/>
              <w:ind w:left="0" w:firstLine="0"/>
              <w:rPr>
                <w:rFonts w:ascii="宋体" w:hAnsi="宋体"/>
                <w:sz w:val="20"/>
                <w:szCs w:val="20"/>
              </w:rPr>
            </w:pPr>
            <w:r>
              <w:rPr>
                <w:rFonts w:hint="eastAsia" w:ascii="宋体" w:hAnsi="宋体"/>
                <w:sz w:val="20"/>
                <w:szCs w:val="20"/>
              </w:rPr>
              <w:t>采用A5.0(B06)一等品加气混凝土砌块，Mb5.0专用砂浆砌筑。</w:t>
            </w:r>
          </w:p>
        </w:tc>
        <w:tc>
          <w:tcPr>
            <w:tcW w:w="1332" w:type="dxa"/>
            <w:vAlign w:val="center"/>
          </w:tcPr>
          <w:p>
            <w:pPr>
              <w:jc w:val="center"/>
              <w:rPr>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707" w:hRule="atLeast"/>
        </w:trPr>
        <w:tc>
          <w:tcPr>
            <w:tcW w:w="472" w:type="dxa"/>
            <w:vAlign w:val="center"/>
          </w:tcPr>
          <w:p>
            <w:pPr>
              <w:jc w:val="center"/>
              <w:rPr>
                <w:rFonts w:ascii="宋体" w:hAnsi="宋体"/>
                <w:sz w:val="20"/>
                <w:szCs w:val="20"/>
              </w:rPr>
            </w:pPr>
            <w:r>
              <w:rPr>
                <w:rFonts w:hint="eastAsia" w:ascii="宋体" w:hAnsi="宋体"/>
                <w:sz w:val="20"/>
                <w:szCs w:val="20"/>
              </w:rPr>
              <w:t>4</w:t>
            </w:r>
          </w:p>
        </w:tc>
        <w:tc>
          <w:tcPr>
            <w:tcW w:w="1256"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钢结构防火涂料</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钢结构工程</w:t>
            </w:r>
          </w:p>
          <w:p>
            <w:pPr>
              <w:jc w:val="left"/>
              <w:rPr>
                <w:rFonts w:ascii="宋体" w:hAnsi="宋体"/>
                <w:sz w:val="20"/>
                <w:szCs w:val="20"/>
              </w:rPr>
            </w:pPr>
          </w:p>
        </w:tc>
        <w:tc>
          <w:tcPr>
            <w:tcW w:w="5220" w:type="dxa"/>
            <w:tcBorders>
              <w:left w:val="single" w:color="auto" w:sz="4" w:space="0"/>
            </w:tcBorders>
            <w:vAlign w:val="center"/>
          </w:tcPr>
          <w:p>
            <w:pPr>
              <w:spacing w:line="240" w:lineRule="atLeast"/>
              <w:rPr>
                <w:rFonts w:ascii="宋体" w:hAnsi="宋体"/>
                <w:sz w:val="20"/>
                <w:szCs w:val="20"/>
              </w:rPr>
            </w:pPr>
            <w:r>
              <w:rPr>
                <w:rFonts w:hint="eastAsia" w:ascii="宋体" w:hAnsi="宋体"/>
                <w:sz w:val="20"/>
                <w:szCs w:val="20"/>
              </w:rPr>
              <w:t>符合国家有关标准、规范、规程及设计要求，并符合下列要求：</w:t>
            </w:r>
          </w:p>
          <w:p>
            <w:pPr>
              <w:autoSpaceDE w:val="0"/>
              <w:autoSpaceDN w:val="0"/>
              <w:spacing w:line="300" w:lineRule="exact"/>
              <w:rPr>
                <w:rFonts w:ascii="宋体" w:hAnsi="宋体"/>
                <w:sz w:val="20"/>
                <w:szCs w:val="20"/>
              </w:rPr>
            </w:pPr>
            <w:r>
              <w:rPr>
                <w:rFonts w:hint="eastAsia" w:ascii="宋体" w:hAnsi="宋体"/>
                <w:sz w:val="20"/>
                <w:szCs w:val="20"/>
              </w:rPr>
              <w:t>1.室内隐蔽钢结构当其耐火当耐火极限在1.5小时以上时，宜选用厚涂型钢结构防火涂料；露天钢结构，选用适合室外用的钢结构防火涂料。</w:t>
            </w:r>
          </w:p>
          <w:p>
            <w:pPr>
              <w:spacing w:line="300" w:lineRule="exact"/>
              <w:rPr>
                <w:rFonts w:ascii="宋体" w:hAnsi="宋体"/>
                <w:sz w:val="20"/>
                <w:szCs w:val="20"/>
              </w:rPr>
            </w:pPr>
            <w:r>
              <w:rPr>
                <w:rFonts w:hint="eastAsia" w:ascii="宋体" w:hAnsi="宋体"/>
                <w:sz w:val="20"/>
                <w:szCs w:val="20"/>
              </w:rPr>
              <w:t>2.用于保护钢结构的防火涂料应不含石棉，不用苯类溶剂，在施工干燥后应没有刺激性气味；不腐蚀钢材，在预定的使用期内须保持其性能。</w:t>
            </w:r>
          </w:p>
          <w:p>
            <w:pPr>
              <w:autoSpaceDE w:val="0"/>
              <w:autoSpaceDN w:val="0"/>
              <w:spacing w:line="300" w:lineRule="exact"/>
              <w:rPr>
                <w:rFonts w:ascii="宋体" w:hAnsi="宋体"/>
                <w:sz w:val="20"/>
                <w:szCs w:val="20"/>
              </w:rPr>
            </w:pPr>
            <w:r>
              <w:rPr>
                <w:rFonts w:hint="eastAsia" w:ascii="宋体" w:hAnsi="宋体"/>
                <w:sz w:val="20"/>
                <w:szCs w:val="20"/>
              </w:rPr>
              <w:t>3 .钢结构防火涂料的涂层厚度，按下列要求确定：①钢结构防火涂料性能a、粘结强度≥0.15MPa.b、抗弯性，挠曲L/100.涂层不起层、脱落。</w:t>
            </w:r>
            <w:r>
              <w:rPr>
                <w:rFonts w:ascii="宋体" w:hAnsi="宋体"/>
                <w:sz w:val="20"/>
                <w:szCs w:val="20"/>
              </w:rPr>
              <w:t>C</w:t>
            </w:r>
            <w:r>
              <w:rPr>
                <w:rFonts w:hint="eastAsia" w:ascii="宋体" w:hAnsi="宋体"/>
                <w:sz w:val="20"/>
                <w:szCs w:val="20"/>
              </w:rPr>
              <w:t>、耐水性≥24h.d、耐冻融循环性≥15次。e、耐火极限:涂层厚度3㎜，耐火时间不低于0.5h。涂层厚度5.5㎜，耐火时间不低于1.0h。涂层厚度7㎜，耐火时间不低于1.5h。</w:t>
            </w:r>
          </w:p>
          <w:p>
            <w:pPr>
              <w:spacing w:line="300" w:lineRule="exact"/>
              <w:rPr>
                <w:rFonts w:ascii="宋体" w:hAnsi="宋体"/>
                <w:sz w:val="20"/>
                <w:szCs w:val="20"/>
              </w:rPr>
            </w:pPr>
            <w:r>
              <w:rPr>
                <w:rFonts w:hint="eastAsia" w:ascii="宋体" w:hAnsi="宋体"/>
                <w:sz w:val="20"/>
                <w:szCs w:val="20"/>
              </w:rPr>
              <w:t>②厚涂型钢结构防火涂料性能a、粘结强度≥0.04MPa.抗压强度≥0.3MPa.干密度≤500kg/M3.b、热导率≤0.1160（0.1kcal/m.h.c</w:t>
            </w:r>
            <w:r>
              <w:rPr>
                <w:rFonts w:ascii="宋体" w:hAnsi="宋体"/>
                <w:sz w:val="20"/>
                <w:szCs w:val="20"/>
              </w:rPr>
              <w:t>）</w:t>
            </w:r>
            <w:r>
              <w:rPr>
                <w:rFonts w:hint="eastAsia" w:ascii="宋体" w:hAnsi="宋体"/>
                <w:sz w:val="20"/>
                <w:szCs w:val="20"/>
              </w:rPr>
              <w:t>。</w:t>
            </w:r>
            <w:r>
              <w:rPr>
                <w:rFonts w:ascii="宋体" w:hAnsi="宋体"/>
                <w:sz w:val="20"/>
                <w:szCs w:val="20"/>
              </w:rPr>
              <w:t>C</w:t>
            </w:r>
            <w:r>
              <w:rPr>
                <w:rFonts w:hint="eastAsia" w:ascii="宋体" w:hAnsi="宋体"/>
                <w:sz w:val="20"/>
                <w:szCs w:val="20"/>
              </w:rPr>
              <w:t>、耐水性≥24h.d、耐冻融循环性≥15次。e、耐火极限:涂层厚度15㎜，耐火时间不低于1.0h。涂层厚度20㎜，耐火时间不低于1.5h。涂层厚度30㎜，耐火时间不低于2.0h。涂层厚度40㎜，耐火时间不低于2.5h。涂层厚度50㎜，耐火时间不低于3.0h.</w:t>
            </w:r>
          </w:p>
          <w:p>
            <w:pPr>
              <w:spacing w:line="300" w:lineRule="exact"/>
              <w:rPr>
                <w:rFonts w:ascii="宋体" w:hAnsi="宋体"/>
                <w:sz w:val="20"/>
                <w:szCs w:val="20"/>
              </w:rPr>
            </w:pPr>
          </w:p>
        </w:tc>
        <w:tc>
          <w:tcPr>
            <w:tcW w:w="1332" w:type="dxa"/>
            <w:vAlign w:val="center"/>
          </w:tcPr>
          <w:p>
            <w:pPr>
              <w:jc w:val="center"/>
              <w:rPr>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707" w:hRule="atLeast"/>
        </w:trPr>
        <w:tc>
          <w:tcPr>
            <w:tcW w:w="472" w:type="dxa"/>
            <w:vAlign w:val="center"/>
          </w:tcPr>
          <w:p>
            <w:pPr>
              <w:jc w:val="center"/>
              <w:rPr>
                <w:rFonts w:ascii="宋体" w:hAnsi="宋体"/>
                <w:sz w:val="20"/>
                <w:szCs w:val="20"/>
              </w:rPr>
            </w:pPr>
            <w:r>
              <w:rPr>
                <w:rFonts w:hint="eastAsia" w:ascii="宋体" w:hAnsi="宋体"/>
                <w:sz w:val="20"/>
                <w:szCs w:val="20"/>
              </w:rPr>
              <w:t>5</w:t>
            </w:r>
          </w:p>
        </w:tc>
        <w:tc>
          <w:tcPr>
            <w:tcW w:w="1256" w:type="dxa"/>
            <w:tcBorders>
              <w:right w:val="single" w:color="auto" w:sz="4" w:space="0"/>
            </w:tcBorders>
            <w:vAlign w:val="center"/>
          </w:tcPr>
          <w:p>
            <w:pPr>
              <w:spacing w:line="360" w:lineRule="exact"/>
              <w:jc w:val="left"/>
              <w:rPr>
                <w:rFonts w:ascii="宋体" w:hAnsi="宋体"/>
                <w:sz w:val="20"/>
                <w:szCs w:val="20"/>
              </w:rPr>
            </w:pPr>
            <w:r>
              <w:rPr>
                <w:rFonts w:hint="eastAsia" w:ascii="宋体" w:hAnsi="宋体"/>
                <w:sz w:val="20"/>
                <w:szCs w:val="20"/>
              </w:rPr>
              <w:t>钢结构防腐涂料</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钢结构工程</w:t>
            </w:r>
          </w:p>
        </w:tc>
        <w:tc>
          <w:tcPr>
            <w:tcW w:w="5220" w:type="dxa"/>
            <w:tcBorders>
              <w:left w:val="single" w:color="auto" w:sz="4" w:space="0"/>
            </w:tcBorders>
            <w:vAlign w:val="center"/>
          </w:tcPr>
          <w:p>
            <w:pPr>
              <w:spacing w:line="240" w:lineRule="atLeast"/>
              <w:rPr>
                <w:rFonts w:ascii="宋体" w:hAnsi="宋体"/>
                <w:sz w:val="20"/>
                <w:szCs w:val="20"/>
              </w:rPr>
            </w:pPr>
            <w:r>
              <w:rPr>
                <w:rFonts w:hint="eastAsia" w:ascii="宋体" w:hAnsi="宋体"/>
                <w:sz w:val="20"/>
                <w:szCs w:val="20"/>
              </w:rPr>
              <w:t>符合国家有关标准、规范、规程及设计要求，并符合下列要求：</w:t>
            </w:r>
          </w:p>
          <w:p>
            <w:pPr>
              <w:spacing w:line="300" w:lineRule="exact"/>
              <w:rPr>
                <w:rFonts w:ascii="宋体" w:hAnsi="宋体"/>
                <w:sz w:val="20"/>
                <w:szCs w:val="20"/>
              </w:rPr>
            </w:pPr>
            <w:r>
              <w:rPr>
                <w:rFonts w:hint="eastAsia" w:ascii="宋体" w:hAnsi="宋体"/>
                <w:sz w:val="20"/>
                <w:szCs w:val="20"/>
              </w:rPr>
              <w:t>1．环氧富锌防锈底漆：①颜色及外观为灰色无光。②密度约2.4g/cm3。③干膜厚38</w:t>
            </w:r>
            <w:r>
              <w:rPr>
                <w:rFonts w:hint="eastAsia" w:hAnsi="宋体"/>
                <w:sz w:val="20"/>
                <w:szCs w:val="20"/>
              </w:rPr>
              <w:t>μm。④湿膜厚度78μm。⑤理论用量180g/m2。⑥熟化时间（25℃）30min。⑦干燥时间（2</w:t>
            </w:r>
            <w:r>
              <w:rPr>
                <w:rFonts w:hint="eastAsia" w:ascii="宋体" w:hAnsi="宋体"/>
                <w:sz w:val="20"/>
                <w:szCs w:val="20"/>
              </w:rPr>
              <w:t>5℃</w:t>
            </w:r>
            <w:r>
              <w:rPr>
                <w:rFonts w:ascii="宋体" w:hAnsi="宋体"/>
                <w:sz w:val="20"/>
                <w:szCs w:val="20"/>
              </w:rPr>
              <w:t>）</w:t>
            </w:r>
            <w:r>
              <w:rPr>
                <w:rFonts w:hint="eastAsia" w:ascii="宋体" w:hAnsi="宋体"/>
                <w:sz w:val="20"/>
                <w:szCs w:val="20"/>
              </w:rPr>
              <w:t>a、表干≦30min,b、实干≦24h,c、完全固化≦7d。⑧包装a、甲组份（基料）20L桶装25kg.b、乙组份（固化剂）4L桶装2.5kg。⑨贮存期10个月。</w:t>
            </w:r>
          </w:p>
          <w:p>
            <w:pPr>
              <w:spacing w:line="300" w:lineRule="exact"/>
              <w:rPr>
                <w:rFonts w:hAnsi="宋体"/>
                <w:sz w:val="20"/>
                <w:szCs w:val="20"/>
              </w:rPr>
            </w:pPr>
            <w:r>
              <w:rPr>
                <w:rFonts w:hint="eastAsia" w:ascii="宋体" w:hAnsi="宋体"/>
                <w:sz w:val="20"/>
                <w:szCs w:val="20"/>
              </w:rPr>
              <w:t>2．环氧云铁防锈中漆：①颜色及外观为灰色、铁红、色、无光。②密度约1.8g/cm3。③干膜厚90</w:t>
            </w:r>
            <w:r>
              <w:rPr>
                <w:rFonts w:hint="eastAsia" w:hAnsi="宋体"/>
                <w:sz w:val="20"/>
                <w:szCs w:val="20"/>
              </w:rPr>
              <w:t>μm。④适用期4h(25℃)。干燥时间（2</w:t>
            </w:r>
            <w:r>
              <w:rPr>
                <w:rFonts w:hint="eastAsia" w:ascii="宋体" w:hAnsi="宋体"/>
                <w:sz w:val="20"/>
                <w:szCs w:val="20"/>
              </w:rPr>
              <w:t>5℃</w:t>
            </w:r>
            <w:r>
              <w:rPr>
                <w:rFonts w:ascii="宋体" w:hAnsi="宋体"/>
                <w:sz w:val="20"/>
                <w:szCs w:val="20"/>
              </w:rPr>
              <w:t>）</w:t>
            </w:r>
            <w:r>
              <w:rPr>
                <w:rFonts w:hint="eastAsia" w:ascii="宋体" w:hAnsi="宋体"/>
                <w:sz w:val="20"/>
                <w:szCs w:val="20"/>
              </w:rPr>
              <w:t>a、表干≦2h,b、实干≦24h,c、完全固化≦7d。⑤涂装间隔:10~25℃ 25℃以40~24小时 20小时。⑥涂装道数2道，干膜厚度180</w:t>
            </w:r>
            <w:r>
              <w:rPr>
                <w:rFonts w:hint="eastAsia" w:hAnsi="宋体"/>
                <w:sz w:val="20"/>
                <w:szCs w:val="20"/>
              </w:rPr>
              <w:t>μm。⑦稀释剂：X—10环氧树脂涂料稀剂。⑧贮存期限1年。</w:t>
            </w:r>
          </w:p>
          <w:p>
            <w:pPr>
              <w:spacing w:line="300" w:lineRule="exact"/>
              <w:rPr>
                <w:rFonts w:hAnsi="宋体"/>
                <w:sz w:val="20"/>
                <w:szCs w:val="20"/>
              </w:rPr>
            </w:pPr>
            <w:r>
              <w:rPr>
                <w:rFonts w:hint="eastAsia" w:hAnsi="宋体"/>
                <w:sz w:val="20"/>
                <w:szCs w:val="20"/>
              </w:rPr>
              <w:t>3．氯化橡胶漆：</w:t>
            </w:r>
            <w:r>
              <w:rPr>
                <w:rFonts w:hint="eastAsia" w:ascii="宋体" w:hAnsi="宋体"/>
                <w:sz w:val="20"/>
                <w:szCs w:val="20"/>
              </w:rPr>
              <w:t xml:space="preserve"> ①颜色及外观为铁红色。②密度约1.3g/cm3。③干膜厚65</w:t>
            </w:r>
            <w:r>
              <w:rPr>
                <w:rFonts w:hint="eastAsia" w:hAnsi="宋体"/>
                <w:sz w:val="20"/>
                <w:szCs w:val="20"/>
              </w:rPr>
              <w:t>μm</w:t>
            </w:r>
            <w:r>
              <w:rPr>
                <w:rFonts w:hint="eastAsia" w:ascii="宋体" w:hAnsi="宋体"/>
                <w:sz w:val="20"/>
                <w:szCs w:val="20"/>
              </w:rPr>
              <w:t>。④</w:t>
            </w:r>
            <w:r>
              <w:rPr>
                <w:rFonts w:hint="eastAsia" w:hAnsi="宋体"/>
                <w:sz w:val="20"/>
                <w:szCs w:val="20"/>
              </w:rPr>
              <w:t>理论用量280g/m2。    ⑤干燥时间（2</w:t>
            </w:r>
            <w:r>
              <w:rPr>
                <w:rFonts w:hint="eastAsia" w:ascii="宋体" w:hAnsi="宋体"/>
                <w:sz w:val="20"/>
                <w:szCs w:val="20"/>
              </w:rPr>
              <w:t>5℃</w:t>
            </w:r>
            <w:r>
              <w:rPr>
                <w:rFonts w:ascii="宋体" w:hAnsi="宋体"/>
                <w:sz w:val="20"/>
                <w:szCs w:val="20"/>
              </w:rPr>
              <w:t>）</w:t>
            </w:r>
            <w:r>
              <w:rPr>
                <w:rFonts w:hint="eastAsia" w:ascii="宋体" w:hAnsi="宋体"/>
                <w:sz w:val="20"/>
                <w:szCs w:val="20"/>
              </w:rPr>
              <w:t>a、表干≦2h,b、实干≦18h。 ⑥涂装间隔:10~25℃ 25℃以12~8小时 7小时。⑥涂装道数2道，干膜厚度200</w:t>
            </w:r>
            <w:r>
              <w:rPr>
                <w:rFonts w:hint="eastAsia" w:hAnsi="宋体"/>
                <w:sz w:val="20"/>
                <w:szCs w:val="20"/>
              </w:rPr>
              <w:t>μm。⑦稀释剂：氯化橡胶稀释剂。⑧贮存期限1年。</w:t>
            </w:r>
          </w:p>
          <w:p>
            <w:pPr>
              <w:spacing w:line="300" w:lineRule="exact"/>
              <w:rPr>
                <w:rFonts w:ascii="宋体" w:hAnsi="宋体"/>
                <w:sz w:val="20"/>
                <w:szCs w:val="20"/>
              </w:rPr>
            </w:pPr>
          </w:p>
        </w:tc>
        <w:tc>
          <w:tcPr>
            <w:tcW w:w="1332" w:type="dxa"/>
            <w:vAlign w:val="center"/>
          </w:tcPr>
          <w:p>
            <w:pPr>
              <w:jc w:val="center"/>
              <w:rPr>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288" w:hRule="atLeast"/>
        </w:trPr>
        <w:tc>
          <w:tcPr>
            <w:tcW w:w="472" w:type="dxa"/>
            <w:vAlign w:val="center"/>
          </w:tcPr>
          <w:p>
            <w:pPr>
              <w:jc w:val="center"/>
              <w:rPr>
                <w:rFonts w:ascii="宋体" w:hAnsi="宋体"/>
                <w:sz w:val="20"/>
                <w:szCs w:val="20"/>
              </w:rPr>
            </w:pPr>
            <w:r>
              <w:rPr>
                <w:rFonts w:hint="eastAsia" w:ascii="宋体" w:hAnsi="宋体"/>
                <w:sz w:val="20"/>
                <w:szCs w:val="20"/>
              </w:rPr>
              <w:t>6</w:t>
            </w:r>
          </w:p>
        </w:tc>
        <w:tc>
          <w:tcPr>
            <w:tcW w:w="1256" w:type="dxa"/>
            <w:vAlign w:val="center"/>
          </w:tcPr>
          <w:p>
            <w:pPr>
              <w:jc w:val="left"/>
              <w:rPr>
                <w:rFonts w:ascii="宋体" w:hAnsi="宋体"/>
                <w:sz w:val="20"/>
                <w:szCs w:val="20"/>
              </w:rPr>
            </w:pPr>
            <w:r>
              <w:rPr>
                <w:rFonts w:hint="eastAsia" w:ascii="宋体" w:hAnsi="宋体"/>
                <w:sz w:val="20"/>
                <w:szCs w:val="20"/>
              </w:rPr>
              <w:t>防火卷帘（含特级）</w:t>
            </w:r>
          </w:p>
        </w:tc>
        <w:tc>
          <w:tcPr>
            <w:tcW w:w="1080" w:type="dxa"/>
            <w:vAlign w:val="center"/>
          </w:tcPr>
          <w:p>
            <w:pPr>
              <w:jc w:val="left"/>
              <w:rPr>
                <w:rFonts w:ascii="宋体" w:hAnsi="宋体"/>
                <w:sz w:val="20"/>
                <w:szCs w:val="20"/>
              </w:rPr>
            </w:pPr>
            <w:r>
              <w:rPr>
                <w:rFonts w:hint="eastAsia" w:ascii="宋体" w:hAnsi="宋体"/>
                <w:sz w:val="20"/>
                <w:szCs w:val="20"/>
              </w:rPr>
              <w:t>消防工程</w:t>
            </w:r>
          </w:p>
        </w:tc>
        <w:tc>
          <w:tcPr>
            <w:tcW w:w="5220" w:type="dxa"/>
            <w:vAlign w:val="center"/>
          </w:tcPr>
          <w:p>
            <w:pPr>
              <w:spacing w:line="240" w:lineRule="atLeast"/>
              <w:rPr>
                <w:rFonts w:ascii="宋体" w:hAnsi="宋体"/>
                <w:sz w:val="20"/>
                <w:szCs w:val="20"/>
              </w:rPr>
            </w:pPr>
            <w:r>
              <w:rPr>
                <w:rFonts w:hint="eastAsia" w:ascii="宋体" w:hAnsi="宋体"/>
                <w:sz w:val="20"/>
                <w:szCs w:val="20"/>
              </w:rPr>
              <w:t>符合国家、地方及行业有关标准、规范、规程和设计要求</w:t>
            </w:r>
          </w:p>
        </w:tc>
        <w:tc>
          <w:tcPr>
            <w:tcW w:w="1332" w:type="dxa"/>
            <w:vAlign w:val="center"/>
          </w:tcPr>
          <w:p>
            <w:pPr>
              <w:spacing w:line="240" w:lineRule="atLeas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612" w:hRule="atLeast"/>
        </w:trPr>
        <w:tc>
          <w:tcPr>
            <w:tcW w:w="472" w:type="dxa"/>
            <w:vAlign w:val="center"/>
          </w:tcPr>
          <w:p>
            <w:pPr>
              <w:jc w:val="center"/>
              <w:rPr>
                <w:rFonts w:ascii="宋体" w:hAnsi="宋体"/>
                <w:sz w:val="20"/>
                <w:szCs w:val="20"/>
              </w:rPr>
            </w:pPr>
            <w:r>
              <w:rPr>
                <w:rFonts w:hint="eastAsia" w:ascii="宋体" w:hAnsi="宋体"/>
                <w:sz w:val="20"/>
                <w:szCs w:val="20"/>
              </w:rPr>
              <w:t>7</w:t>
            </w:r>
          </w:p>
        </w:tc>
        <w:tc>
          <w:tcPr>
            <w:tcW w:w="1256" w:type="dxa"/>
            <w:vAlign w:val="center"/>
          </w:tcPr>
          <w:p>
            <w:pPr>
              <w:ind w:right="-33"/>
              <w:jc w:val="left"/>
              <w:rPr>
                <w:rFonts w:ascii="宋体" w:hAnsi="宋体"/>
                <w:sz w:val="20"/>
                <w:szCs w:val="20"/>
              </w:rPr>
            </w:pPr>
            <w:r>
              <w:rPr>
                <w:rFonts w:hint="eastAsia" w:ascii="宋体" w:hAnsi="宋体"/>
                <w:sz w:val="20"/>
                <w:szCs w:val="20"/>
              </w:rPr>
              <w:t>钢质防火门（甲、乙级、丙级）</w:t>
            </w:r>
          </w:p>
        </w:tc>
        <w:tc>
          <w:tcPr>
            <w:tcW w:w="1080" w:type="dxa"/>
            <w:vAlign w:val="center"/>
          </w:tcPr>
          <w:p>
            <w:pPr>
              <w:jc w:val="left"/>
              <w:rPr>
                <w:rFonts w:ascii="宋体" w:hAnsi="宋体"/>
                <w:sz w:val="20"/>
                <w:szCs w:val="20"/>
              </w:rPr>
            </w:pPr>
            <w:r>
              <w:rPr>
                <w:rFonts w:hint="eastAsia" w:ascii="宋体" w:hAnsi="宋体"/>
                <w:sz w:val="20"/>
                <w:szCs w:val="20"/>
              </w:rPr>
              <w:t>消防工程</w:t>
            </w:r>
          </w:p>
        </w:tc>
        <w:tc>
          <w:tcPr>
            <w:tcW w:w="5220" w:type="dxa"/>
            <w:vAlign w:val="center"/>
          </w:tcPr>
          <w:p>
            <w:pPr>
              <w:spacing w:line="300" w:lineRule="exact"/>
              <w:rPr>
                <w:rFonts w:hAnsi="宋体"/>
                <w:sz w:val="20"/>
                <w:szCs w:val="20"/>
              </w:rPr>
            </w:pPr>
            <w:r>
              <w:rPr>
                <w:rFonts w:hAnsi="宋体"/>
                <w:sz w:val="20"/>
                <w:szCs w:val="20"/>
              </w:rPr>
              <w:t>1</w:t>
            </w:r>
            <w:r>
              <w:rPr>
                <w:rFonts w:hint="eastAsia" w:hAnsi="宋体"/>
                <w:sz w:val="20"/>
                <w:szCs w:val="20"/>
              </w:rPr>
              <w:t>、钢质防火门</w:t>
            </w:r>
          </w:p>
          <w:p>
            <w:pPr>
              <w:spacing w:line="300" w:lineRule="exact"/>
              <w:rPr>
                <w:rFonts w:hAnsi="宋体"/>
                <w:sz w:val="20"/>
                <w:szCs w:val="20"/>
              </w:rPr>
            </w:pPr>
            <w:r>
              <w:rPr>
                <w:rFonts w:hint="eastAsia" w:hAnsi="宋体"/>
                <w:sz w:val="20"/>
                <w:szCs w:val="20"/>
              </w:rPr>
              <w:t>符合设计及《</w:t>
            </w:r>
            <w:r>
              <w:rPr>
                <w:rFonts w:hAnsi="宋体"/>
                <w:sz w:val="20"/>
                <w:szCs w:val="20"/>
              </w:rPr>
              <w:t>GB12955-2008</w:t>
            </w:r>
            <w:r>
              <w:rPr>
                <w:rFonts w:hint="eastAsia" w:hAnsi="宋体"/>
                <w:sz w:val="20"/>
                <w:szCs w:val="20"/>
              </w:rPr>
              <w:t>》标准要求，同时必须达到：</w:t>
            </w:r>
          </w:p>
          <w:p>
            <w:pPr>
              <w:spacing w:line="300" w:lineRule="exact"/>
              <w:rPr>
                <w:rFonts w:hAnsi="宋体"/>
                <w:sz w:val="20"/>
                <w:szCs w:val="20"/>
              </w:rPr>
            </w:pPr>
            <w:r>
              <w:rPr>
                <w:rFonts w:hint="eastAsia" w:hAnsi="宋体"/>
                <w:sz w:val="20"/>
                <w:szCs w:val="20"/>
              </w:rPr>
              <w:t>（</w:t>
            </w:r>
            <w:r>
              <w:rPr>
                <w:rFonts w:hAnsi="宋体"/>
                <w:sz w:val="20"/>
                <w:szCs w:val="20"/>
              </w:rPr>
              <w:t>1</w:t>
            </w:r>
            <w:r>
              <w:rPr>
                <w:rFonts w:hint="eastAsia" w:hAnsi="宋体"/>
                <w:sz w:val="20"/>
                <w:szCs w:val="20"/>
              </w:rPr>
              <w:t>）钢质防火门外观质量和颜色必须达到实物样板和设计要求。</w:t>
            </w:r>
          </w:p>
          <w:p>
            <w:pPr>
              <w:spacing w:line="300" w:lineRule="exact"/>
              <w:rPr>
                <w:rFonts w:hAnsi="宋体"/>
                <w:sz w:val="20"/>
                <w:szCs w:val="20"/>
              </w:rPr>
            </w:pPr>
            <w:r>
              <w:rPr>
                <w:rFonts w:hint="eastAsia" w:hAnsi="宋体"/>
                <w:sz w:val="20"/>
                <w:szCs w:val="20"/>
              </w:rPr>
              <w:t>（</w:t>
            </w:r>
            <w:r>
              <w:rPr>
                <w:rFonts w:hAnsi="宋体"/>
                <w:sz w:val="20"/>
                <w:szCs w:val="20"/>
              </w:rPr>
              <w:t>2</w:t>
            </w:r>
            <w:r>
              <w:rPr>
                <w:rFonts w:hint="eastAsia" w:hAnsi="宋体"/>
                <w:sz w:val="20"/>
                <w:szCs w:val="20"/>
              </w:rPr>
              <w:t>）耐火隔热性和耐火完整性：</w:t>
            </w:r>
            <w:r>
              <w:rPr>
                <w:rFonts w:hAnsi="宋体"/>
                <w:sz w:val="20"/>
                <w:szCs w:val="20"/>
              </w:rPr>
              <w:t>A1.50(</w:t>
            </w:r>
            <w:r>
              <w:rPr>
                <w:rFonts w:hint="eastAsia" w:hAnsi="宋体"/>
                <w:sz w:val="20"/>
                <w:szCs w:val="20"/>
              </w:rPr>
              <w:t>甲级</w:t>
            </w:r>
            <w:r>
              <w:rPr>
                <w:rFonts w:hAnsi="宋体"/>
                <w:sz w:val="20"/>
                <w:szCs w:val="20"/>
              </w:rPr>
              <w:t>)</w:t>
            </w:r>
            <w:r>
              <w:rPr>
                <w:rFonts w:hint="eastAsia" w:hAnsi="宋体"/>
                <w:sz w:val="20"/>
                <w:szCs w:val="20"/>
              </w:rPr>
              <w:t>≥</w:t>
            </w:r>
            <w:r>
              <w:rPr>
                <w:rFonts w:hAnsi="宋体"/>
                <w:sz w:val="20"/>
                <w:szCs w:val="20"/>
              </w:rPr>
              <w:t>1.5h</w:t>
            </w:r>
            <w:r>
              <w:rPr>
                <w:rFonts w:hint="eastAsia" w:hAnsi="宋体"/>
                <w:sz w:val="20"/>
                <w:szCs w:val="20"/>
              </w:rPr>
              <w:t>，</w:t>
            </w:r>
            <w:r>
              <w:rPr>
                <w:rFonts w:hAnsi="宋体"/>
                <w:sz w:val="20"/>
                <w:szCs w:val="20"/>
              </w:rPr>
              <w:t>A1.00</w:t>
            </w:r>
            <w:r>
              <w:rPr>
                <w:rFonts w:hint="eastAsia" w:hAnsi="宋体"/>
                <w:sz w:val="20"/>
                <w:szCs w:val="20"/>
              </w:rPr>
              <w:t>（乙级）≥</w:t>
            </w:r>
            <w:r>
              <w:rPr>
                <w:rFonts w:hAnsi="宋体"/>
                <w:sz w:val="20"/>
                <w:szCs w:val="20"/>
              </w:rPr>
              <w:t>1.0h</w:t>
            </w:r>
            <w:r>
              <w:rPr>
                <w:rFonts w:hint="eastAsia" w:hAnsi="宋体"/>
                <w:sz w:val="20"/>
                <w:szCs w:val="20"/>
              </w:rPr>
              <w:t>，</w:t>
            </w:r>
            <w:r>
              <w:rPr>
                <w:rFonts w:hAnsi="宋体"/>
                <w:sz w:val="20"/>
                <w:szCs w:val="20"/>
              </w:rPr>
              <w:t>A0.5</w:t>
            </w:r>
            <w:r>
              <w:rPr>
                <w:rFonts w:hint="eastAsia" w:hAnsi="宋体"/>
                <w:sz w:val="20"/>
                <w:szCs w:val="20"/>
              </w:rPr>
              <w:t>（丙级）≥</w:t>
            </w:r>
            <w:r>
              <w:rPr>
                <w:rFonts w:hAnsi="宋体"/>
                <w:sz w:val="20"/>
                <w:szCs w:val="20"/>
              </w:rPr>
              <w:t>0.5h</w:t>
            </w:r>
            <w:r>
              <w:rPr>
                <w:rFonts w:hint="eastAsia" w:hAnsi="宋体"/>
                <w:sz w:val="20"/>
                <w:szCs w:val="20"/>
              </w:rPr>
              <w:t>。</w:t>
            </w:r>
          </w:p>
          <w:p>
            <w:pPr>
              <w:spacing w:line="300" w:lineRule="exact"/>
              <w:rPr>
                <w:rFonts w:hAnsi="宋体"/>
                <w:sz w:val="20"/>
                <w:szCs w:val="20"/>
              </w:rPr>
            </w:pPr>
            <w:r>
              <w:rPr>
                <w:rFonts w:hint="eastAsia" w:hAnsi="宋体"/>
                <w:sz w:val="20"/>
                <w:szCs w:val="20"/>
              </w:rPr>
              <w:t>（</w:t>
            </w:r>
            <w:r>
              <w:rPr>
                <w:rFonts w:hAnsi="宋体"/>
                <w:sz w:val="20"/>
                <w:szCs w:val="20"/>
              </w:rPr>
              <w:t>3</w:t>
            </w:r>
            <w:r>
              <w:rPr>
                <w:rFonts w:hint="eastAsia" w:hAnsi="宋体"/>
                <w:sz w:val="20"/>
                <w:szCs w:val="20"/>
              </w:rPr>
              <w:t>）填充材料：应用对人体无毒无害的防火隔热材料，并经国家认可授权检测机构检验达到</w:t>
            </w:r>
            <w:r>
              <w:rPr>
                <w:rFonts w:hAnsi="宋体"/>
                <w:sz w:val="20"/>
                <w:szCs w:val="20"/>
              </w:rPr>
              <w:t>GB8624-2006</w:t>
            </w:r>
            <w:r>
              <w:rPr>
                <w:rFonts w:hint="eastAsia" w:hAnsi="宋体"/>
                <w:sz w:val="20"/>
                <w:szCs w:val="20"/>
              </w:rPr>
              <w:t>规定燃烧性能</w:t>
            </w:r>
            <w:r>
              <w:rPr>
                <w:rFonts w:hAnsi="宋体"/>
                <w:sz w:val="20"/>
                <w:szCs w:val="20"/>
              </w:rPr>
              <w:t>A1</w:t>
            </w:r>
            <w:r>
              <w:rPr>
                <w:rFonts w:hint="eastAsia" w:hAnsi="宋体"/>
                <w:sz w:val="20"/>
                <w:szCs w:val="20"/>
              </w:rPr>
              <w:t>级要求和</w:t>
            </w:r>
            <w:r>
              <w:rPr>
                <w:rFonts w:hAnsi="宋体"/>
                <w:sz w:val="20"/>
                <w:szCs w:val="20"/>
              </w:rPr>
              <w:t>GB/T20285-2006</w:t>
            </w:r>
            <w:r>
              <w:rPr>
                <w:rFonts w:hint="eastAsia" w:hAnsi="宋体"/>
                <w:sz w:val="20"/>
                <w:szCs w:val="20"/>
              </w:rPr>
              <w:t>规定产烟毒性危险分级</w:t>
            </w:r>
            <w:r>
              <w:rPr>
                <w:rFonts w:hAnsi="宋体"/>
                <w:sz w:val="20"/>
                <w:szCs w:val="20"/>
              </w:rPr>
              <w:t>ZA2</w:t>
            </w:r>
            <w:r>
              <w:rPr>
                <w:rFonts w:hint="eastAsia" w:hAnsi="宋体"/>
                <w:sz w:val="20"/>
                <w:szCs w:val="20"/>
              </w:rPr>
              <w:t>级要求。</w:t>
            </w:r>
          </w:p>
          <w:p>
            <w:pPr>
              <w:spacing w:line="300" w:lineRule="exact"/>
              <w:rPr>
                <w:rFonts w:hAnsi="宋体"/>
                <w:sz w:val="20"/>
                <w:szCs w:val="20"/>
              </w:rPr>
            </w:pPr>
            <w:r>
              <w:rPr>
                <w:rFonts w:hint="eastAsia" w:hAnsi="宋体"/>
                <w:sz w:val="20"/>
                <w:szCs w:val="20"/>
              </w:rPr>
              <w:t>（</w:t>
            </w:r>
            <w:r>
              <w:rPr>
                <w:rFonts w:hAnsi="宋体"/>
                <w:sz w:val="20"/>
                <w:szCs w:val="20"/>
              </w:rPr>
              <w:t>4</w:t>
            </w:r>
            <w:r>
              <w:rPr>
                <w:rFonts w:hint="eastAsia" w:hAnsi="宋体"/>
                <w:sz w:val="20"/>
                <w:szCs w:val="20"/>
              </w:rPr>
              <w:t>）门扇采用不包边暗扣结构，门扇与门框之间必须配有防撞胶条，无外露螺丝（含观察窗部位）。</w:t>
            </w:r>
          </w:p>
          <w:p>
            <w:pPr>
              <w:spacing w:line="300" w:lineRule="exact"/>
              <w:rPr>
                <w:rFonts w:hAnsi="宋体"/>
                <w:sz w:val="20"/>
                <w:szCs w:val="20"/>
              </w:rPr>
            </w:pPr>
            <w:r>
              <w:rPr>
                <w:rFonts w:hint="eastAsia" w:hAnsi="宋体"/>
                <w:sz w:val="20"/>
                <w:szCs w:val="20"/>
              </w:rPr>
              <w:t>（</w:t>
            </w:r>
            <w:r>
              <w:rPr>
                <w:rFonts w:hAnsi="宋体"/>
                <w:sz w:val="20"/>
                <w:szCs w:val="20"/>
              </w:rPr>
              <w:t>5</w:t>
            </w:r>
            <w:r>
              <w:rPr>
                <w:rFonts w:hint="eastAsia" w:hAnsi="宋体"/>
                <w:sz w:val="20"/>
                <w:szCs w:val="20"/>
              </w:rPr>
              <w:t>）材料厚度：材料选用双面电镀锌冷轧钢板，门框采用≥</w:t>
            </w:r>
            <w:r>
              <w:rPr>
                <w:rFonts w:hAnsi="宋体"/>
                <w:sz w:val="20"/>
                <w:szCs w:val="20"/>
              </w:rPr>
              <w:t>1.2MM</w:t>
            </w:r>
            <w:r>
              <w:rPr>
                <w:rFonts w:hint="eastAsia" w:hAnsi="宋体"/>
                <w:sz w:val="20"/>
                <w:szCs w:val="20"/>
              </w:rPr>
              <w:t>厚镀锌钢板，门扇采用≥</w:t>
            </w:r>
            <w:r>
              <w:rPr>
                <w:rFonts w:hAnsi="宋体"/>
                <w:sz w:val="20"/>
                <w:szCs w:val="20"/>
              </w:rPr>
              <w:t>0.8MM</w:t>
            </w:r>
            <w:r>
              <w:rPr>
                <w:rFonts w:hint="eastAsia" w:hAnsi="宋体"/>
                <w:sz w:val="20"/>
                <w:szCs w:val="20"/>
              </w:rPr>
              <w:t>厚镀锌钢板，加固件遇有螺孔处的钢板厚度不低于</w:t>
            </w:r>
            <w:r>
              <w:rPr>
                <w:rFonts w:hAnsi="宋体"/>
                <w:sz w:val="20"/>
                <w:szCs w:val="20"/>
              </w:rPr>
              <w:t>3.0 MM</w:t>
            </w:r>
            <w:r>
              <w:rPr>
                <w:rFonts w:hint="eastAsia" w:hAnsi="宋体"/>
                <w:sz w:val="20"/>
                <w:szCs w:val="20"/>
              </w:rPr>
              <w:t>。防火锁安装处要进行加固处理。</w:t>
            </w:r>
          </w:p>
          <w:p>
            <w:pPr>
              <w:spacing w:line="300" w:lineRule="exact"/>
              <w:rPr>
                <w:rFonts w:hAnsi="宋体"/>
                <w:sz w:val="20"/>
                <w:szCs w:val="20"/>
              </w:rPr>
            </w:pPr>
            <w:r>
              <w:rPr>
                <w:rFonts w:hint="eastAsia" w:hAnsi="宋体"/>
                <w:sz w:val="20"/>
                <w:szCs w:val="20"/>
              </w:rPr>
              <w:t>（</w:t>
            </w:r>
            <w:r>
              <w:rPr>
                <w:rFonts w:hAnsi="宋体"/>
                <w:sz w:val="20"/>
                <w:szCs w:val="20"/>
              </w:rPr>
              <w:t>6</w:t>
            </w:r>
            <w:r>
              <w:rPr>
                <w:rFonts w:hint="eastAsia" w:hAnsi="宋体"/>
                <w:sz w:val="20"/>
                <w:szCs w:val="20"/>
              </w:rPr>
              <w:t>）喷涂要求：静电喷涂，涂层应均匀、平整、光滑，不得有堆漆、麻点、气泡、漏涂、咬色及流淌等现象。</w:t>
            </w:r>
          </w:p>
          <w:p>
            <w:pPr>
              <w:spacing w:line="300" w:lineRule="exact"/>
              <w:rPr>
                <w:rFonts w:hAnsi="宋体"/>
                <w:sz w:val="20"/>
                <w:szCs w:val="20"/>
              </w:rPr>
            </w:pPr>
            <w:r>
              <w:rPr>
                <w:rFonts w:hint="eastAsia" w:hAnsi="宋体"/>
                <w:sz w:val="20"/>
                <w:szCs w:val="20"/>
              </w:rPr>
              <w:t>（</w:t>
            </w:r>
            <w:r>
              <w:rPr>
                <w:rFonts w:hAnsi="宋体"/>
                <w:sz w:val="20"/>
                <w:szCs w:val="20"/>
              </w:rPr>
              <w:t>7</w:t>
            </w:r>
            <w:r>
              <w:rPr>
                <w:rFonts w:hint="eastAsia" w:hAnsi="宋体"/>
                <w:sz w:val="20"/>
                <w:szCs w:val="20"/>
              </w:rPr>
              <w:t>）防火门应为向疏散方向开启的平开门，并在关闭后应能从任何一侧手动开启。用于疏散的走道、楼梯和前室的防火门，应具有自行关闭的功能。双扇和多扇防火门，还应具有按顺序关闭的功能。</w:t>
            </w:r>
          </w:p>
          <w:p>
            <w:pPr>
              <w:spacing w:line="300" w:lineRule="exact"/>
              <w:rPr>
                <w:rFonts w:hAnsi="宋体"/>
                <w:sz w:val="20"/>
                <w:szCs w:val="20"/>
              </w:rPr>
            </w:pPr>
            <w:r>
              <w:rPr>
                <w:rFonts w:hint="eastAsia" w:hAnsi="宋体"/>
                <w:sz w:val="20"/>
                <w:szCs w:val="20"/>
              </w:rPr>
              <w:t>（</w:t>
            </w:r>
            <w:r>
              <w:rPr>
                <w:rFonts w:hAnsi="宋体"/>
                <w:sz w:val="20"/>
                <w:szCs w:val="20"/>
              </w:rPr>
              <w:t>8</w:t>
            </w:r>
            <w:r>
              <w:rPr>
                <w:rFonts w:hint="eastAsia" w:hAnsi="宋体"/>
                <w:sz w:val="20"/>
                <w:szCs w:val="20"/>
              </w:rPr>
              <w:t>）防火门门扇、门框的尺寸极限偏差和形位公差必须符合规范要求。</w:t>
            </w:r>
          </w:p>
          <w:p>
            <w:pPr>
              <w:spacing w:line="300" w:lineRule="exact"/>
              <w:rPr>
                <w:rFonts w:hAnsi="宋体"/>
                <w:sz w:val="20"/>
                <w:szCs w:val="20"/>
              </w:rPr>
            </w:pPr>
            <w:r>
              <w:rPr>
                <w:rFonts w:hint="eastAsia" w:hAnsi="宋体"/>
                <w:sz w:val="20"/>
                <w:szCs w:val="20"/>
              </w:rPr>
              <w:t>（</w:t>
            </w:r>
            <w:r>
              <w:rPr>
                <w:rFonts w:hAnsi="宋体"/>
                <w:sz w:val="20"/>
                <w:szCs w:val="20"/>
              </w:rPr>
              <w:t>9</w:t>
            </w:r>
            <w:r>
              <w:rPr>
                <w:rFonts w:hint="eastAsia" w:hAnsi="宋体"/>
                <w:sz w:val="20"/>
                <w:szCs w:val="20"/>
              </w:rPr>
              <w:t>）粘接剂：应使用对人体无毒无害的产品，并经国家认可授权检测机构检验达到</w:t>
            </w:r>
            <w:r>
              <w:rPr>
                <w:rFonts w:hAnsi="宋体"/>
                <w:sz w:val="20"/>
                <w:szCs w:val="20"/>
              </w:rPr>
              <w:t>GB/T20285-2006</w:t>
            </w:r>
            <w:r>
              <w:rPr>
                <w:rFonts w:hint="eastAsia" w:hAnsi="宋体"/>
                <w:sz w:val="20"/>
                <w:szCs w:val="20"/>
              </w:rPr>
              <w:t>规定产烟毒性危险分级</w:t>
            </w:r>
            <w:r>
              <w:rPr>
                <w:rFonts w:hAnsi="宋体"/>
                <w:sz w:val="20"/>
                <w:szCs w:val="20"/>
              </w:rPr>
              <w:t>ZA2</w:t>
            </w:r>
            <w:r>
              <w:rPr>
                <w:rFonts w:hint="eastAsia" w:hAnsi="宋体"/>
                <w:sz w:val="20"/>
                <w:szCs w:val="20"/>
              </w:rPr>
              <w:t>级要求。</w:t>
            </w:r>
          </w:p>
          <w:p>
            <w:pPr>
              <w:spacing w:line="300" w:lineRule="exact"/>
              <w:rPr>
                <w:rFonts w:hAnsi="宋体"/>
                <w:sz w:val="20"/>
                <w:szCs w:val="20"/>
              </w:rPr>
            </w:pPr>
            <w:r>
              <w:rPr>
                <w:rFonts w:hint="eastAsia" w:hAnsi="宋体"/>
                <w:sz w:val="20"/>
                <w:szCs w:val="20"/>
              </w:rPr>
              <w:t>（</w:t>
            </w:r>
            <w:r>
              <w:rPr>
                <w:rFonts w:hAnsi="宋体"/>
                <w:sz w:val="20"/>
                <w:szCs w:val="20"/>
              </w:rPr>
              <w:t>10</w:t>
            </w:r>
            <w:r>
              <w:rPr>
                <w:rFonts w:hint="eastAsia" w:hAnsi="宋体"/>
                <w:sz w:val="20"/>
                <w:szCs w:val="20"/>
              </w:rPr>
              <w:t>）门框必须进行灌浆处理；</w:t>
            </w:r>
          </w:p>
          <w:p>
            <w:pPr>
              <w:spacing w:line="300" w:lineRule="exact"/>
              <w:rPr>
                <w:rFonts w:hAnsi="宋体"/>
                <w:sz w:val="20"/>
                <w:szCs w:val="20"/>
              </w:rPr>
            </w:pPr>
            <w:r>
              <w:rPr>
                <w:rFonts w:hint="eastAsia" w:hAnsi="宋体"/>
                <w:sz w:val="20"/>
                <w:szCs w:val="20"/>
              </w:rPr>
              <w:t>（</w:t>
            </w:r>
            <w:r>
              <w:rPr>
                <w:rFonts w:hAnsi="宋体"/>
                <w:sz w:val="20"/>
                <w:szCs w:val="20"/>
              </w:rPr>
              <w:t>11</w:t>
            </w:r>
            <w:r>
              <w:rPr>
                <w:rFonts w:hint="eastAsia" w:hAnsi="宋体"/>
                <w:sz w:val="20"/>
                <w:szCs w:val="20"/>
              </w:rPr>
              <w:t>）有吸附式要求的还须达到规定标准。</w:t>
            </w:r>
          </w:p>
          <w:p>
            <w:pPr>
              <w:spacing w:line="300" w:lineRule="exact"/>
              <w:rPr>
                <w:rFonts w:hAnsi="宋体"/>
                <w:sz w:val="20"/>
                <w:szCs w:val="20"/>
              </w:rPr>
            </w:pPr>
            <w:r>
              <w:rPr>
                <w:rFonts w:hint="eastAsia" w:hAnsi="宋体"/>
                <w:sz w:val="20"/>
                <w:szCs w:val="20"/>
              </w:rPr>
              <w:t>（</w:t>
            </w:r>
            <w:r>
              <w:rPr>
                <w:rFonts w:hAnsi="宋体"/>
                <w:sz w:val="20"/>
                <w:szCs w:val="20"/>
              </w:rPr>
              <w:t>12</w:t>
            </w:r>
            <w:r>
              <w:rPr>
                <w:rFonts w:hint="eastAsia" w:hAnsi="宋体"/>
                <w:sz w:val="20"/>
                <w:szCs w:val="20"/>
              </w:rPr>
              <w:t>）.防火门颜色按仿木纹考虑，最终以确认为准，报价时考虑有关费用。</w:t>
            </w:r>
          </w:p>
          <w:p>
            <w:pPr>
              <w:spacing w:line="300" w:lineRule="exact"/>
              <w:rPr>
                <w:rFonts w:hAnsi="宋体"/>
                <w:sz w:val="20"/>
                <w:szCs w:val="20"/>
              </w:rPr>
            </w:pPr>
            <w:r>
              <w:rPr>
                <w:rFonts w:hint="eastAsia" w:hAnsi="宋体"/>
                <w:sz w:val="20"/>
                <w:szCs w:val="20"/>
              </w:rPr>
              <w:t>监理工程师有权到加工厂监造，在施工期间监理工程师有权至少抽取</w:t>
            </w:r>
            <w:r>
              <w:rPr>
                <w:rFonts w:hAnsi="宋体"/>
                <w:sz w:val="20"/>
                <w:szCs w:val="20"/>
              </w:rPr>
              <w:t>2</w:t>
            </w:r>
            <w:r>
              <w:rPr>
                <w:rFonts w:hint="eastAsia" w:hAnsi="宋体"/>
                <w:sz w:val="20"/>
                <w:szCs w:val="20"/>
              </w:rPr>
              <w:t>扇门检验上述参数。</w:t>
            </w:r>
          </w:p>
        </w:tc>
        <w:tc>
          <w:tcPr>
            <w:tcW w:w="1332" w:type="dxa"/>
            <w:vAlign w:val="center"/>
          </w:tcPr>
          <w:p>
            <w:pPr>
              <w:spacing w:line="240" w:lineRule="atLeas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2949" w:hRule="atLeast"/>
        </w:trPr>
        <w:tc>
          <w:tcPr>
            <w:tcW w:w="472" w:type="dxa"/>
            <w:vAlign w:val="center"/>
          </w:tcPr>
          <w:p>
            <w:pPr>
              <w:jc w:val="center"/>
              <w:rPr>
                <w:rFonts w:ascii="宋体" w:hAnsi="宋体"/>
                <w:sz w:val="20"/>
                <w:szCs w:val="20"/>
              </w:rPr>
            </w:pPr>
            <w:r>
              <w:rPr>
                <w:rFonts w:hint="eastAsia" w:ascii="宋体" w:hAnsi="宋体"/>
                <w:sz w:val="20"/>
                <w:szCs w:val="20"/>
              </w:rPr>
              <w:t>8</w:t>
            </w:r>
          </w:p>
        </w:tc>
        <w:tc>
          <w:tcPr>
            <w:tcW w:w="1256" w:type="dxa"/>
            <w:vAlign w:val="center"/>
          </w:tcPr>
          <w:p>
            <w:pPr>
              <w:jc w:val="left"/>
              <w:rPr>
                <w:rFonts w:ascii="宋体" w:hAnsi="宋体"/>
                <w:sz w:val="20"/>
                <w:szCs w:val="20"/>
              </w:rPr>
            </w:pPr>
            <w:r>
              <w:rPr>
                <w:rFonts w:hint="eastAsia" w:ascii="宋体" w:hAnsi="宋体"/>
                <w:sz w:val="20"/>
                <w:szCs w:val="20"/>
              </w:rPr>
              <w:t>防火门的五金</w:t>
            </w:r>
          </w:p>
          <w:p>
            <w:pPr>
              <w:ind w:right="-33"/>
              <w:jc w:val="left"/>
              <w:rPr>
                <w:rFonts w:ascii="宋体" w:hAnsi="宋体"/>
                <w:sz w:val="20"/>
                <w:szCs w:val="20"/>
              </w:rPr>
            </w:pPr>
          </w:p>
        </w:tc>
        <w:tc>
          <w:tcPr>
            <w:tcW w:w="1080" w:type="dxa"/>
            <w:vAlign w:val="center"/>
          </w:tcPr>
          <w:p>
            <w:pPr>
              <w:jc w:val="left"/>
              <w:rPr>
                <w:rFonts w:ascii="宋体" w:hAnsi="宋体"/>
                <w:sz w:val="20"/>
                <w:szCs w:val="20"/>
              </w:rPr>
            </w:pPr>
            <w:r>
              <w:rPr>
                <w:rFonts w:hint="eastAsia" w:ascii="宋体" w:hAnsi="宋体"/>
                <w:sz w:val="20"/>
                <w:szCs w:val="20"/>
              </w:rPr>
              <w:t>防火门</w:t>
            </w:r>
          </w:p>
        </w:tc>
        <w:tc>
          <w:tcPr>
            <w:tcW w:w="5220" w:type="dxa"/>
            <w:vAlign w:val="center"/>
          </w:tcPr>
          <w:p>
            <w:pPr>
              <w:spacing w:line="300" w:lineRule="exact"/>
              <w:rPr>
                <w:rFonts w:hAnsi="宋体"/>
                <w:sz w:val="20"/>
                <w:szCs w:val="20"/>
              </w:rPr>
            </w:pPr>
            <w:r>
              <w:rPr>
                <w:rFonts w:hint="eastAsia" w:hAnsi="宋体"/>
                <w:sz w:val="20"/>
                <w:szCs w:val="20"/>
              </w:rPr>
              <w:t>符合设计及国家有关标准、规范、规定，并符合下列要求：</w:t>
            </w:r>
          </w:p>
          <w:p>
            <w:pPr>
              <w:spacing w:line="300" w:lineRule="exact"/>
              <w:rPr>
                <w:rFonts w:hAnsi="宋体"/>
                <w:sz w:val="20"/>
                <w:szCs w:val="20"/>
              </w:rPr>
            </w:pPr>
            <w:r>
              <w:rPr>
                <w:rFonts w:hint="eastAsia" w:hAnsi="宋体"/>
                <w:sz w:val="20"/>
                <w:szCs w:val="20"/>
              </w:rPr>
              <w:t>（</w:t>
            </w:r>
            <w:r>
              <w:rPr>
                <w:rFonts w:hAnsi="宋体"/>
                <w:sz w:val="20"/>
                <w:szCs w:val="20"/>
              </w:rPr>
              <w:t>1</w:t>
            </w:r>
            <w:r>
              <w:rPr>
                <w:rFonts w:hint="eastAsia" w:hAnsi="宋体"/>
                <w:sz w:val="20"/>
                <w:szCs w:val="20"/>
              </w:rPr>
              <w:t>）闭门器</w:t>
            </w:r>
          </w:p>
          <w:p>
            <w:pPr>
              <w:spacing w:line="300" w:lineRule="exact"/>
              <w:rPr>
                <w:rFonts w:hAnsi="宋体"/>
                <w:sz w:val="20"/>
                <w:szCs w:val="20"/>
              </w:rPr>
            </w:pPr>
            <w:r>
              <w:rPr>
                <w:rFonts w:hAnsi="宋体"/>
                <w:sz w:val="20"/>
                <w:szCs w:val="20"/>
              </w:rPr>
              <w:t>1</w:t>
            </w:r>
            <w:r>
              <w:rPr>
                <w:rFonts w:hint="eastAsia" w:hAnsi="宋体"/>
                <w:sz w:val="20"/>
                <w:szCs w:val="20"/>
              </w:rPr>
              <w:t>）通过</w:t>
            </w:r>
            <w:r>
              <w:rPr>
                <w:rFonts w:hAnsi="宋体"/>
                <w:sz w:val="20"/>
                <w:szCs w:val="20"/>
              </w:rPr>
              <w:t>GB9305-88</w:t>
            </w:r>
            <w:r>
              <w:rPr>
                <w:rFonts w:hint="eastAsia" w:hAnsi="宋体"/>
                <w:sz w:val="20"/>
                <w:szCs w:val="20"/>
              </w:rPr>
              <w:t>要求优等品；通过国内防火检测，具有在有效期内的《检验报告》；</w:t>
            </w:r>
          </w:p>
          <w:p>
            <w:pPr>
              <w:spacing w:line="300" w:lineRule="exact"/>
              <w:rPr>
                <w:rFonts w:hAnsi="宋体"/>
                <w:sz w:val="20"/>
                <w:szCs w:val="20"/>
              </w:rPr>
            </w:pPr>
            <w:r>
              <w:rPr>
                <w:rFonts w:hAnsi="宋体"/>
                <w:sz w:val="20"/>
                <w:szCs w:val="20"/>
              </w:rPr>
              <w:t>2</w:t>
            </w:r>
            <w:r>
              <w:rPr>
                <w:rFonts w:hint="eastAsia" w:hAnsi="宋体"/>
                <w:sz w:val="20"/>
                <w:szCs w:val="20"/>
              </w:rPr>
              <w:t>）闭门速度液压无级可调；</w:t>
            </w:r>
          </w:p>
          <w:p>
            <w:pPr>
              <w:spacing w:line="300" w:lineRule="exact"/>
              <w:rPr>
                <w:rFonts w:hAnsi="宋体"/>
                <w:sz w:val="20"/>
                <w:szCs w:val="20"/>
              </w:rPr>
            </w:pPr>
            <w:r>
              <w:rPr>
                <w:rFonts w:hAnsi="宋体"/>
                <w:sz w:val="20"/>
                <w:szCs w:val="20"/>
              </w:rPr>
              <w:t>3</w:t>
            </w:r>
            <w:r>
              <w:rPr>
                <w:rFonts w:hint="eastAsia" w:hAnsi="宋体"/>
                <w:sz w:val="20"/>
                <w:szCs w:val="20"/>
              </w:rPr>
              <w:t>）关门力度按</w:t>
            </w:r>
            <w:r>
              <w:rPr>
                <w:rFonts w:hAnsi="宋体"/>
                <w:sz w:val="20"/>
                <w:szCs w:val="20"/>
              </w:rPr>
              <w:t>EN</w:t>
            </w:r>
            <w:r>
              <w:rPr>
                <w:rFonts w:hint="eastAsia" w:hAnsi="宋体"/>
                <w:sz w:val="20"/>
                <w:szCs w:val="20"/>
              </w:rPr>
              <w:t>标准</w:t>
            </w:r>
            <w:r>
              <w:rPr>
                <w:rFonts w:hAnsi="宋体"/>
                <w:sz w:val="20"/>
                <w:szCs w:val="20"/>
              </w:rPr>
              <w:t>2/3/4</w:t>
            </w:r>
            <w:r>
              <w:rPr>
                <w:rFonts w:hint="eastAsia" w:hAnsi="宋体"/>
                <w:sz w:val="20"/>
                <w:szCs w:val="20"/>
              </w:rPr>
              <w:t>级分档可调；</w:t>
            </w:r>
          </w:p>
          <w:p>
            <w:pPr>
              <w:spacing w:line="300" w:lineRule="exact"/>
              <w:rPr>
                <w:rFonts w:hAnsi="宋体"/>
                <w:sz w:val="20"/>
                <w:szCs w:val="20"/>
              </w:rPr>
            </w:pPr>
            <w:r>
              <w:rPr>
                <w:rFonts w:hAnsi="宋体"/>
                <w:sz w:val="20"/>
                <w:szCs w:val="20"/>
              </w:rPr>
              <w:t>4</w:t>
            </w:r>
            <w:r>
              <w:rPr>
                <w:rFonts w:hint="eastAsia" w:hAnsi="宋体"/>
                <w:sz w:val="20"/>
                <w:szCs w:val="20"/>
              </w:rPr>
              <w:t>）提供连续开启</w:t>
            </w:r>
            <w:r>
              <w:rPr>
                <w:rFonts w:hAnsi="宋体"/>
                <w:sz w:val="20"/>
                <w:szCs w:val="20"/>
              </w:rPr>
              <w:t>40</w:t>
            </w:r>
            <w:r>
              <w:rPr>
                <w:rFonts w:hint="eastAsia" w:hAnsi="宋体"/>
                <w:sz w:val="20"/>
                <w:szCs w:val="20"/>
              </w:rPr>
              <w:t>万次以上的检测报告；</w:t>
            </w:r>
          </w:p>
          <w:p>
            <w:pPr>
              <w:spacing w:line="300" w:lineRule="exact"/>
              <w:rPr>
                <w:rFonts w:hAnsi="宋体"/>
                <w:sz w:val="20"/>
                <w:szCs w:val="20"/>
              </w:rPr>
            </w:pPr>
            <w:r>
              <w:rPr>
                <w:rFonts w:hAnsi="宋体"/>
                <w:sz w:val="20"/>
                <w:szCs w:val="20"/>
              </w:rPr>
              <w:t>5</w:t>
            </w:r>
            <w:r>
              <w:rPr>
                <w:rFonts w:hint="eastAsia" w:hAnsi="宋体"/>
                <w:sz w:val="20"/>
                <w:szCs w:val="20"/>
              </w:rPr>
              <w:t>）末端撞门可调；</w:t>
            </w:r>
          </w:p>
          <w:p>
            <w:pPr>
              <w:spacing w:line="300" w:lineRule="exact"/>
              <w:rPr>
                <w:rFonts w:hAnsi="宋体"/>
                <w:sz w:val="20"/>
                <w:szCs w:val="20"/>
              </w:rPr>
            </w:pPr>
            <w:r>
              <w:rPr>
                <w:rFonts w:hint="eastAsia" w:hAnsi="宋体"/>
                <w:sz w:val="20"/>
                <w:szCs w:val="20"/>
              </w:rPr>
              <w:t>（</w:t>
            </w:r>
            <w:r>
              <w:rPr>
                <w:rFonts w:hAnsi="宋体"/>
                <w:sz w:val="20"/>
                <w:szCs w:val="20"/>
              </w:rPr>
              <w:t>2</w:t>
            </w:r>
            <w:r>
              <w:rPr>
                <w:rFonts w:hint="eastAsia" w:hAnsi="宋体"/>
                <w:sz w:val="20"/>
                <w:szCs w:val="20"/>
              </w:rPr>
              <w:t>）防火锁具：</w:t>
            </w:r>
          </w:p>
          <w:p>
            <w:pPr>
              <w:spacing w:line="300" w:lineRule="exact"/>
              <w:rPr>
                <w:rFonts w:hAnsi="宋体"/>
                <w:sz w:val="20"/>
                <w:szCs w:val="20"/>
              </w:rPr>
            </w:pPr>
            <w:r>
              <w:rPr>
                <w:rFonts w:hAnsi="宋体"/>
                <w:sz w:val="20"/>
                <w:szCs w:val="20"/>
              </w:rPr>
              <w:t>1</w:t>
            </w:r>
            <w:r>
              <w:rPr>
                <w:rFonts w:hint="eastAsia" w:hAnsi="宋体"/>
                <w:sz w:val="20"/>
                <w:szCs w:val="20"/>
              </w:rPr>
              <w:t>）通过国内防火检测，具有在有效期内的《检验报告》；</w:t>
            </w:r>
          </w:p>
          <w:p>
            <w:pPr>
              <w:spacing w:line="300" w:lineRule="exact"/>
              <w:rPr>
                <w:rFonts w:hAnsi="宋体"/>
                <w:sz w:val="20"/>
                <w:szCs w:val="20"/>
              </w:rPr>
            </w:pPr>
            <w:r>
              <w:rPr>
                <w:rFonts w:hAnsi="宋体"/>
                <w:sz w:val="20"/>
                <w:szCs w:val="20"/>
              </w:rPr>
              <w:t>2</w:t>
            </w:r>
            <w:r>
              <w:rPr>
                <w:rFonts w:hint="eastAsia" w:hAnsi="宋体"/>
                <w:sz w:val="20"/>
                <w:szCs w:val="20"/>
              </w:rPr>
              <w:t>）疏散防火门把手采用尼龙联体式把手，颜色可选，在双面</w:t>
            </w:r>
            <w:r>
              <w:rPr>
                <w:rFonts w:hAnsi="宋体"/>
                <w:sz w:val="20"/>
                <w:szCs w:val="20"/>
              </w:rPr>
              <w:t>100N</w:t>
            </w:r>
            <w:r>
              <w:rPr>
                <w:rFonts w:hint="eastAsia" w:hAnsi="宋体"/>
                <w:sz w:val="20"/>
                <w:szCs w:val="20"/>
              </w:rPr>
              <w:t>拉力作用下，</w:t>
            </w:r>
            <w:r>
              <w:rPr>
                <w:rFonts w:hAnsi="宋体"/>
                <w:sz w:val="20"/>
                <w:szCs w:val="20"/>
              </w:rPr>
              <w:t>20</w:t>
            </w:r>
            <w:r>
              <w:rPr>
                <w:rFonts w:hint="eastAsia" w:hAnsi="宋体"/>
                <w:sz w:val="20"/>
                <w:szCs w:val="20"/>
              </w:rPr>
              <w:t>万次开启测试把手偏角不大于</w:t>
            </w:r>
            <w:r>
              <w:rPr>
                <w:rFonts w:hAnsi="宋体"/>
                <w:sz w:val="20"/>
                <w:szCs w:val="20"/>
              </w:rPr>
              <w:t>1O</w:t>
            </w:r>
            <w:r>
              <w:rPr>
                <w:rFonts w:hint="eastAsia" w:hAnsi="宋体"/>
                <w:sz w:val="20"/>
                <w:szCs w:val="20"/>
              </w:rPr>
              <w:t>；双锁舌；</w:t>
            </w:r>
          </w:p>
          <w:p>
            <w:pPr>
              <w:spacing w:line="300" w:lineRule="exact"/>
              <w:rPr>
                <w:rFonts w:hAnsi="宋体"/>
                <w:sz w:val="20"/>
                <w:szCs w:val="20"/>
              </w:rPr>
            </w:pPr>
            <w:r>
              <w:rPr>
                <w:rFonts w:hAnsi="宋体"/>
                <w:sz w:val="20"/>
                <w:szCs w:val="20"/>
              </w:rPr>
              <w:t>3</w:t>
            </w:r>
            <w:r>
              <w:rPr>
                <w:rFonts w:hint="eastAsia" w:hAnsi="宋体"/>
                <w:sz w:val="20"/>
                <w:szCs w:val="20"/>
              </w:rPr>
              <w:t>）锁芯具备钥匙通开性能。</w:t>
            </w:r>
          </w:p>
          <w:p>
            <w:pPr>
              <w:spacing w:line="300" w:lineRule="exact"/>
              <w:rPr>
                <w:rFonts w:hAnsi="宋体"/>
                <w:sz w:val="20"/>
                <w:szCs w:val="20"/>
              </w:rPr>
            </w:pPr>
            <w:r>
              <w:rPr>
                <w:rFonts w:hAnsi="宋体"/>
                <w:sz w:val="20"/>
                <w:szCs w:val="20"/>
              </w:rPr>
              <w:t>4</w:t>
            </w:r>
            <w:r>
              <w:rPr>
                <w:rFonts w:hint="eastAsia" w:hAnsi="宋体"/>
                <w:sz w:val="20"/>
                <w:szCs w:val="20"/>
              </w:rPr>
              <w:t>）管井门采用暗扣拉手，单锁舌。</w:t>
            </w:r>
          </w:p>
          <w:p>
            <w:pPr>
              <w:spacing w:line="300" w:lineRule="exact"/>
              <w:rPr>
                <w:rFonts w:hAnsi="宋体"/>
                <w:sz w:val="20"/>
                <w:szCs w:val="20"/>
              </w:rPr>
            </w:pPr>
            <w:r>
              <w:rPr>
                <w:rFonts w:hint="eastAsia" w:hAnsi="宋体"/>
                <w:sz w:val="20"/>
                <w:szCs w:val="20"/>
              </w:rPr>
              <w:t>（</w:t>
            </w:r>
            <w:r>
              <w:rPr>
                <w:rFonts w:hAnsi="宋体"/>
                <w:sz w:val="20"/>
                <w:szCs w:val="20"/>
              </w:rPr>
              <w:t>3</w:t>
            </w:r>
            <w:r>
              <w:rPr>
                <w:rFonts w:hint="eastAsia" w:hAnsi="宋体"/>
                <w:sz w:val="20"/>
                <w:szCs w:val="20"/>
              </w:rPr>
              <w:t>）防火铰链</w:t>
            </w:r>
          </w:p>
          <w:p>
            <w:pPr>
              <w:spacing w:line="300" w:lineRule="exact"/>
              <w:rPr>
                <w:rFonts w:hAnsi="宋体"/>
                <w:sz w:val="20"/>
                <w:szCs w:val="20"/>
              </w:rPr>
            </w:pPr>
            <w:r>
              <w:rPr>
                <w:rFonts w:hAnsi="宋体"/>
                <w:sz w:val="20"/>
                <w:szCs w:val="20"/>
              </w:rPr>
              <w:t>1</w:t>
            </w:r>
            <w:r>
              <w:rPr>
                <w:rFonts w:hint="eastAsia" w:hAnsi="宋体"/>
                <w:sz w:val="20"/>
                <w:szCs w:val="20"/>
              </w:rPr>
              <w:t>）不锈钢材质旗型铰链，厚度不小于</w:t>
            </w:r>
            <w:r>
              <w:rPr>
                <w:rFonts w:hAnsi="宋体"/>
                <w:sz w:val="20"/>
                <w:szCs w:val="20"/>
              </w:rPr>
              <w:t>3mm</w:t>
            </w:r>
            <w:r>
              <w:rPr>
                <w:rFonts w:hint="eastAsia" w:hAnsi="宋体"/>
                <w:sz w:val="20"/>
                <w:szCs w:val="20"/>
              </w:rPr>
              <w:t>；</w:t>
            </w:r>
          </w:p>
          <w:p>
            <w:pPr>
              <w:spacing w:line="300" w:lineRule="exact"/>
              <w:rPr>
                <w:rFonts w:hAnsi="宋体"/>
                <w:sz w:val="20"/>
                <w:szCs w:val="20"/>
              </w:rPr>
            </w:pPr>
            <w:r>
              <w:rPr>
                <w:rFonts w:hAnsi="宋体"/>
                <w:sz w:val="20"/>
                <w:szCs w:val="20"/>
              </w:rPr>
              <w:t>2</w:t>
            </w:r>
            <w:r>
              <w:rPr>
                <w:rFonts w:hint="eastAsia" w:hAnsi="宋体"/>
                <w:sz w:val="20"/>
                <w:szCs w:val="20"/>
              </w:rPr>
              <w:t>）疏散防火门每扇门上采用旗型铰链不少于</w:t>
            </w:r>
            <w:r>
              <w:rPr>
                <w:rFonts w:hAnsi="宋体"/>
                <w:sz w:val="20"/>
                <w:szCs w:val="20"/>
              </w:rPr>
              <w:t>3</w:t>
            </w:r>
            <w:r>
              <w:rPr>
                <w:rFonts w:hint="eastAsia" w:hAnsi="宋体"/>
                <w:sz w:val="20"/>
                <w:szCs w:val="20"/>
              </w:rPr>
              <w:t>个；</w:t>
            </w:r>
          </w:p>
          <w:p>
            <w:pPr>
              <w:spacing w:line="300" w:lineRule="exact"/>
              <w:rPr>
                <w:rFonts w:hAnsi="宋体"/>
                <w:sz w:val="20"/>
                <w:szCs w:val="20"/>
              </w:rPr>
            </w:pPr>
            <w:r>
              <w:rPr>
                <w:rFonts w:hAnsi="宋体"/>
                <w:sz w:val="20"/>
                <w:szCs w:val="20"/>
              </w:rPr>
              <w:t>3</w:t>
            </w:r>
            <w:r>
              <w:rPr>
                <w:rFonts w:hint="eastAsia" w:hAnsi="宋体"/>
                <w:sz w:val="20"/>
                <w:szCs w:val="20"/>
              </w:rPr>
              <w:t>）其它按照实物样板标准执行。</w:t>
            </w:r>
          </w:p>
          <w:p>
            <w:pPr>
              <w:spacing w:line="300" w:lineRule="exact"/>
              <w:rPr>
                <w:rFonts w:hAnsi="宋体"/>
                <w:sz w:val="20"/>
                <w:szCs w:val="20"/>
              </w:rPr>
            </w:pPr>
            <w:r>
              <w:rPr>
                <w:rFonts w:hAnsi="宋体"/>
                <w:sz w:val="20"/>
                <w:szCs w:val="20"/>
              </w:rPr>
              <w:t>4</w:t>
            </w:r>
            <w:r>
              <w:rPr>
                <w:rFonts w:hint="eastAsia" w:hAnsi="宋体"/>
                <w:sz w:val="20"/>
                <w:szCs w:val="20"/>
              </w:rPr>
              <w:t>）管井门配二只</w:t>
            </w:r>
            <w:r>
              <w:rPr>
                <w:rFonts w:hAnsi="宋体"/>
                <w:sz w:val="20"/>
                <w:szCs w:val="20"/>
              </w:rPr>
              <w:t>4</w:t>
            </w:r>
            <w:r>
              <w:rPr>
                <w:rFonts w:hint="eastAsia" w:hAnsi="宋体"/>
                <w:sz w:val="20"/>
                <w:szCs w:val="20"/>
              </w:rPr>
              <w:t>寸不锈钢铰链。</w:t>
            </w:r>
          </w:p>
          <w:p>
            <w:pPr>
              <w:spacing w:line="300" w:lineRule="exact"/>
              <w:rPr>
                <w:rFonts w:hAnsi="宋体"/>
                <w:sz w:val="20"/>
                <w:szCs w:val="20"/>
              </w:rPr>
            </w:pPr>
            <w:r>
              <w:rPr>
                <w:rFonts w:hint="eastAsia" w:hAnsi="宋体"/>
                <w:sz w:val="20"/>
                <w:szCs w:val="20"/>
              </w:rPr>
              <w:t>（</w:t>
            </w:r>
            <w:r>
              <w:rPr>
                <w:rFonts w:hAnsi="宋体"/>
                <w:sz w:val="20"/>
                <w:szCs w:val="20"/>
              </w:rPr>
              <w:t>4</w:t>
            </w:r>
            <w:r>
              <w:rPr>
                <w:rFonts w:hint="eastAsia" w:hAnsi="宋体"/>
                <w:sz w:val="20"/>
                <w:szCs w:val="20"/>
              </w:rPr>
              <w:t>）所有螺丝</w:t>
            </w:r>
            <w:r>
              <w:rPr>
                <w:rFonts w:hAnsi="宋体"/>
                <w:sz w:val="20"/>
                <w:szCs w:val="20"/>
              </w:rPr>
              <w:t>/</w:t>
            </w:r>
            <w:r>
              <w:rPr>
                <w:rFonts w:hint="eastAsia" w:hAnsi="宋体"/>
                <w:sz w:val="20"/>
                <w:szCs w:val="20"/>
              </w:rPr>
              <w:t>螺钉均采用不锈钢材质。</w:t>
            </w:r>
          </w:p>
          <w:p>
            <w:pPr>
              <w:spacing w:line="300" w:lineRule="exact"/>
              <w:rPr>
                <w:rFonts w:hAnsi="宋体"/>
                <w:sz w:val="20"/>
                <w:szCs w:val="20"/>
              </w:rPr>
            </w:pP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612" w:hRule="atLeast"/>
        </w:trPr>
        <w:tc>
          <w:tcPr>
            <w:tcW w:w="472" w:type="dxa"/>
            <w:vAlign w:val="center"/>
          </w:tcPr>
          <w:p>
            <w:pPr>
              <w:jc w:val="center"/>
              <w:rPr>
                <w:rFonts w:ascii="宋体" w:hAnsi="宋体"/>
                <w:sz w:val="20"/>
                <w:szCs w:val="20"/>
              </w:rPr>
            </w:pPr>
            <w:r>
              <w:rPr>
                <w:rFonts w:hint="eastAsia" w:ascii="宋体" w:hAnsi="宋体"/>
                <w:sz w:val="20"/>
                <w:szCs w:val="20"/>
              </w:rPr>
              <w:t>9</w:t>
            </w:r>
          </w:p>
        </w:tc>
        <w:tc>
          <w:tcPr>
            <w:tcW w:w="1256" w:type="dxa"/>
            <w:vAlign w:val="center"/>
          </w:tcPr>
          <w:p>
            <w:pPr>
              <w:jc w:val="left"/>
              <w:rPr>
                <w:rFonts w:ascii="宋体" w:hAnsi="宋体"/>
                <w:sz w:val="20"/>
                <w:szCs w:val="20"/>
              </w:rPr>
            </w:pPr>
            <w:r>
              <w:rPr>
                <w:rFonts w:hint="eastAsia" w:ascii="宋体" w:hAnsi="宋体"/>
                <w:sz w:val="20"/>
                <w:szCs w:val="20"/>
              </w:rPr>
              <w:t>抛光砖</w:t>
            </w:r>
          </w:p>
        </w:tc>
        <w:tc>
          <w:tcPr>
            <w:tcW w:w="1080" w:type="dxa"/>
            <w:vAlign w:val="center"/>
          </w:tcPr>
          <w:p>
            <w:pPr>
              <w:jc w:val="left"/>
              <w:rPr>
                <w:sz w:val="20"/>
                <w:szCs w:val="20"/>
              </w:rPr>
            </w:pPr>
          </w:p>
        </w:tc>
        <w:tc>
          <w:tcPr>
            <w:tcW w:w="5220" w:type="dxa"/>
            <w:vAlign w:val="center"/>
          </w:tcPr>
          <w:p>
            <w:pPr>
              <w:spacing w:line="280" w:lineRule="exact"/>
              <w:ind w:right="-91"/>
              <w:jc w:val="left"/>
              <w:rPr>
                <w:rFonts w:ascii="宋体" w:hAnsi="宋体"/>
                <w:sz w:val="20"/>
                <w:szCs w:val="20"/>
              </w:rPr>
            </w:pPr>
            <w:r>
              <w:rPr>
                <w:rFonts w:hint="eastAsia" w:ascii="宋体" w:hAnsi="宋体"/>
                <w:sz w:val="20"/>
                <w:szCs w:val="20"/>
              </w:rPr>
              <w:t>符合国家标准的相关规定、环保要求及设计要求,</w:t>
            </w:r>
            <w:r>
              <w:rPr>
                <w:rFonts w:hint="eastAsia"/>
                <w:sz w:val="20"/>
                <w:szCs w:val="20"/>
              </w:rPr>
              <w:t>并符合如下要求：</w:t>
            </w:r>
          </w:p>
          <w:p>
            <w:pPr>
              <w:spacing w:line="320" w:lineRule="exact"/>
              <w:rPr>
                <w:rFonts w:ascii="宋体" w:hAnsi="宋体"/>
                <w:sz w:val="20"/>
                <w:szCs w:val="20"/>
              </w:rPr>
            </w:pPr>
            <w:r>
              <w:rPr>
                <w:rFonts w:hint="eastAsia" w:ascii="宋体" w:hAnsi="宋体"/>
                <w:sz w:val="20"/>
                <w:szCs w:val="20"/>
              </w:rPr>
              <w:t>吸水率</w:t>
            </w:r>
            <w:r>
              <w:rPr>
                <w:rFonts w:hint="eastAsia" w:ascii="宋体" w:hAnsi="宋体"/>
                <w:sz w:val="20"/>
                <w:szCs w:val="20"/>
              </w:rPr>
              <w:tab/>
            </w:r>
            <w:r>
              <w:rPr>
                <w:rFonts w:hint="eastAsia" w:ascii="宋体" w:hAnsi="宋体"/>
                <w:sz w:val="20"/>
                <w:szCs w:val="20"/>
              </w:rPr>
              <w:t>≤0.5％</w:t>
            </w:r>
          </w:p>
          <w:p>
            <w:pPr>
              <w:spacing w:line="320" w:lineRule="exact"/>
              <w:rPr>
                <w:rFonts w:ascii="宋体" w:hAnsi="宋体"/>
                <w:sz w:val="20"/>
                <w:szCs w:val="20"/>
              </w:rPr>
            </w:pPr>
            <w:r>
              <w:rPr>
                <w:rFonts w:hint="eastAsia" w:ascii="宋体" w:hAnsi="宋体"/>
                <w:sz w:val="20"/>
                <w:szCs w:val="20"/>
              </w:rPr>
              <w:t>破坏强度</w:t>
            </w:r>
            <w:r>
              <w:rPr>
                <w:rFonts w:hint="eastAsia" w:ascii="宋体" w:hAnsi="宋体"/>
                <w:sz w:val="20"/>
                <w:szCs w:val="20"/>
              </w:rPr>
              <w:tab/>
            </w:r>
            <w:r>
              <w:rPr>
                <w:rFonts w:hint="eastAsia" w:ascii="宋体" w:hAnsi="宋体"/>
                <w:sz w:val="20"/>
                <w:szCs w:val="20"/>
              </w:rPr>
              <w:t>&gt;1300N</w:t>
            </w:r>
          </w:p>
          <w:p>
            <w:pPr>
              <w:spacing w:line="320" w:lineRule="exact"/>
              <w:rPr>
                <w:rFonts w:ascii="宋体" w:hAnsi="宋体"/>
                <w:sz w:val="20"/>
                <w:szCs w:val="20"/>
              </w:rPr>
            </w:pPr>
            <w:r>
              <w:rPr>
                <w:rFonts w:hint="eastAsia" w:ascii="宋体" w:hAnsi="宋体"/>
                <w:sz w:val="20"/>
                <w:szCs w:val="20"/>
              </w:rPr>
              <w:t>断裂模数</w:t>
            </w:r>
            <w:r>
              <w:rPr>
                <w:rFonts w:hint="eastAsia" w:ascii="宋体" w:hAnsi="宋体"/>
                <w:sz w:val="20"/>
                <w:szCs w:val="20"/>
              </w:rPr>
              <w:tab/>
            </w:r>
            <w:r>
              <w:rPr>
                <w:rFonts w:hint="eastAsia" w:ascii="宋体" w:hAnsi="宋体"/>
                <w:sz w:val="20"/>
                <w:szCs w:val="20"/>
              </w:rPr>
              <w:t>≥35MPa</w:t>
            </w:r>
          </w:p>
          <w:p>
            <w:pPr>
              <w:spacing w:line="320" w:lineRule="exact"/>
              <w:rPr>
                <w:rFonts w:ascii="宋体" w:hAnsi="宋体"/>
                <w:sz w:val="20"/>
                <w:szCs w:val="20"/>
              </w:rPr>
            </w:pPr>
            <w:r>
              <w:rPr>
                <w:rFonts w:hint="eastAsia" w:ascii="宋体" w:hAnsi="宋体"/>
                <w:sz w:val="20"/>
                <w:szCs w:val="20"/>
              </w:rPr>
              <w:t>长度</w:t>
            </w:r>
            <w:r>
              <w:rPr>
                <w:rFonts w:hint="eastAsia" w:ascii="宋体" w:hAnsi="宋体"/>
                <w:sz w:val="20"/>
                <w:szCs w:val="20"/>
              </w:rPr>
              <w:tab/>
            </w:r>
            <w:r>
              <w:rPr>
                <w:rFonts w:hint="eastAsia" w:ascii="宋体" w:hAnsi="宋体"/>
                <w:sz w:val="20"/>
                <w:szCs w:val="20"/>
              </w:rPr>
              <w:t>±1.0mm</w:t>
            </w:r>
          </w:p>
          <w:p>
            <w:pPr>
              <w:spacing w:line="320" w:lineRule="exact"/>
              <w:rPr>
                <w:rFonts w:ascii="宋体" w:hAnsi="宋体"/>
                <w:sz w:val="20"/>
                <w:szCs w:val="20"/>
              </w:rPr>
            </w:pPr>
            <w:r>
              <w:rPr>
                <w:rFonts w:hint="eastAsia" w:ascii="宋体" w:hAnsi="宋体"/>
                <w:sz w:val="20"/>
                <w:szCs w:val="20"/>
              </w:rPr>
              <w:t>宽度</w:t>
            </w:r>
            <w:r>
              <w:rPr>
                <w:rFonts w:hint="eastAsia" w:ascii="宋体" w:hAnsi="宋体"/>
                <w:sz w:val="20"/>
                <w:szCs w:val="20"/>
              </w:rPr>
              <w:tab/>
            </w:r>
            <w:r>
              <w:rPr>
                <w:rFonts w:hint="eastAsia" w:ascii="宋体" w:hAnsi="宋体"/>
                <w:sz w:val="20"/>
                <w:szCs w:val="20"/>
              </w:rPr>
              <w:t>±1.0mm</w:t>
            </w:r>
          </w:p>
          <w:p>
            <w:pPr>
              <w:spacing w:line="320" w:lineRule="exact"/>
              <w:rPr>
                <w:rFonts w:ascii="宋体" w:hAnsi="宋体"/>
                <w:sz w:val="20"/>
                <w:szCs w:val="20"/>
              </w:rPr>
            </w:pPr>
            <w:r>
              <w:rPr>
                <w:rFonts w:hint="eastAsia" w:ascii="宋体" w:hAnsi="宋体"/>
                <w:sz w:val="20"/>
                <w:szCs w:val="20"/>
              </w:rPr>
              <w:t>厚度</w:t>
            </w:r>
            <w:r>
              <w:rPr>
                <w:rFonts w:hint="eastAsia" w:ascii="宋体" w:hAnsi="宋体"/>
                <w:sz w:val="20"/>
                <w:szCs w:val="20"/>
              </w:rPr>
              <w:tab/>
            </w:r>
            <w:r>
              <w:rPr>
                <w:rFonts w:hint="eastAsia" w:ascii="宋体" w:hAnsi="宋体"/>
                <w:sz w:val="20"/>
                <w:szCs w:val="20"/>
              </w:rPr>
              <w:t>±5%</w:t>
            </w:r>
          </w:p>
          <w:p>
            <w:pPr>
              <w:spacing w:line="320" w:lineRule="exact"/>
              <w:rPr>
                <w:rFonts w:ascii="宋体" w:hAnsi="宋体"/>
                <w:sz w:val="20"/>
                <w:szCs w:val="20"/>
              </w:rPr>
            </w:pPr>
            <w:r>
              <w:rPr>
                <w:rFonts w:hint="eastAsia" w:ascii="宋体" w:hAnsi="宋体"/>
                <w:sz w:val="20"/>
                <w:szCs w:val="20"/>
              </w:rPr>
              <w:t>表面平整度</w:t>
            </w:r>
            <w:r>
              <w:rPr>
                <w:rFonts w:hint="eastAsia" w:ascii="宋体" w:hAnsi="宋体"/>
                <w:sz w:val="20"/>
                <w:szCs w:val="20"/>
              </w:rPr>
              <w:tab/>
            </w:r>
            <w:r>
              <w:rPr>
                <w:rFonts w:hint="eastAsia" w:ascii="宋体" w:hAnsi="宋体"/>
                <w:sz w:val="20"/>
                <w:szCs w:val="20"/>
              </w:rPr>
              <w:t>±0.2%且不超过2mm</w:t>
            </w:r>
          </w:p>
          <w:p>
            <w:pPr>
              <w:spacing w:line="320" w:lineRule="exact"/>
              <w:rPr>
                <w:rFonts w:ascii="宋体" w:hAnsi="宋体"/>
                <w:sz w:val="20"/>
                <w:szCs w:val="20"/>
              </w:rPr>
            </w:pPr>
            <w:r>
              <w:rPr>
                <w:rFonts w:hint="eastAsia" w:ascii="宋体" w:hAnsi="宋体"/>
                <w:sz w:val="20"/>
                <w:szCs w:val="20"/>
              </w:rPr>
              <w:t>边直度</w:t>
            </w:r>
            <w:r>
              <w:rPr>
                <w:rFonts w:hint="eastAsia" w:ascii="宋体" w:hAnsi="宋体"/>
                <w:sz w:val="20"/>
                <w:szCs w:val="20"/>
              </w:rPr>
              <w:tab/>
            </w:r>
            <w:r>
              <w:rPr>
                <w:rFonts w:hint="eastAsia" w:ascii="宋体" w:hAnsi="宋体"/>
                <w:sz w:val="20"/>
                <w:szCs w:val="20"/>
              </w:rPr>
              <w:t>±0.2%且不超过2mm</w:t>
            </w:r>
          </w:p>
          <w:p>
            <w:pPr>
              <w:spacing w:line="320" w:lineRule="exact"/>
              <w:rPr>
                <w:rFonts w:ascii="宋体" w:hAnsi="宋体"/>
                <w:sz w:val="20"/>
                <w:szCs w:val="20"/>
              </w:rPr>
            </w:pPr>
            <w:r>
              <w:rPr>
                <w:rFonts w:hint="eastAsia" w:ascii="宋体" w:hAnsi="宋体"/>
                <w:sz w:val="20"/>
                <w:szCs w:val="20"/>
              </w:rPr>
              <w:t>直角度</w:t>
            </w:r>
            <w:r>
              <w:rPr>
                <w:rFonts w:hint="eastAsia" w:ascii="宋体" w:hAnsi="宋体"/>
                <w:sz w:val="20"/>
                <w:szCs w:val="20"/>
              </w:rPr>
              <w:tab/>
            </w:r>
            <w:r>
              <w:rPr>
                <w:rFonts w:hint="eastAsia" w:ascii="宋体" w:hAnsi="宋体"/>
                <w:sz w:val="20"/>
                <w:szCs w:val="20"/>
              </w:rPr>
              <w:t>±0.2%且不超过2mm</w:t>
            </w:r>
          </w:p>
          <w:p>
            <w:pPr>
              <w:spacing w:line="320" w:lineRule="exact"/>
              <w:rPr>
                <w:rFonts w:ascii="宋体" w:hAnsi="宋体"/>
                <w:sz w:val="20"/>
                <w:szCs w:val="20"/>
              </w:rPr>
            </w:pPr>
            <w:r>
              <w:rPr>
                <w:rFonts w:hint="eastAsia" w:ascii="宋体" w:hAnsi="宋体"/>
                <w:sz w:val="20"/>
                <w:szCs w:val="20"/>
              </w:rPr>
              <w:t>耐磨性</w:t>
            </w:r>
            <w:r>
              <w:rPr>
                <w:rFonts w:hint="eastAsia" w:ascii="宋体" w:hAnsi="宋体"/>
                <w:sz w:val="20"/>
                <w:szCs w:val="20"/>
              </w:rPr>
              <w:tab/>
            </w:r>
            <w:r>
              <w:rPr>
                <w:rFonts w:hint="eastAsia" w:ascii="宋体" w:hAnsi="宋体"/>
                <w:sz w:val="20"/>
                <w:szCs w:val="20"/>
              </w:rPr>
              <w:t>≤175mm3</w:t>
            </w:r>
          </w:p>
          <w:p>
            <w:pPr>
              <w:spacing w:line="320" w:lineRule="exact"/>
              <w:rPr>
                <w:rFonts w:ascii="宋体" w:hAnsi="宋体"/>
                <w:sz w:val="20"/>
                <w:szCs w:val="20"/>
              </w:rPr>
            </w:pPr>
            <w:r>
              <w:rPr>
                <w:rFonts w:hint="eastAsia" w:ascii="宋体" w:hAnsi="宋体"/>
                <w:sz w:val="20"/>
                <w:szCs w:val="20"/>
              </w:rPr>
              <w:t>抗冻性</w:t>
            </w:r>
            <w:r>
              <w:rPr>
                <w:rFonts w:hint="eastAsia" w:ascii="宋体" w:hAnsi="宋体"/>
                <w:sz w:val="20"/>
                <w:szCs w:val="20"/>
              </w:rPr>
              <w:tab/>
            </w:r>
            <w:r>
              <w:rPr>
                <w:rFonts w:hint="eastAsia" w:ascii="宋体" w:hAnsi="宋体"/>
                <w:sz w:val="20"/>
                <w:szCs w:val="20"/>
              </w:rPr>
              <w:t>协商认可</w:t>
            </w:r>
          </w:p>
          <w:p>
            <w:pPr>
              <w:spacing w:line="320" w:lineRule="exact"/>
              <w:rPr>
                <w:rFonts w:ascii="宋体" w:hAnsi="宋体"/>
                <w:sz w:val="20"/>
                <w:szCs w:val="20"/>
              </w:rPr>
            </w:pPr>
            <w:r>
              <w:rPr>
                <w:rFonts w:hint="eastAsia" w:ascii="宋体" w:hAnsi="宋体"/>
                <w:sz w:val="20"/>
                <w:szCs w:val="20"/>
              </w:rPr>
              <w:t>抗热震性</w:t>
            </w:r>
            <w:r>
              <w:rPr>
                <w:rFonts w:hint="eastAsia" w:ascii="宋体" w:hAnsi="宋体"/>
                <w:sz w:val="20"/>
                <w:szCs w:val="20"/>
              </w:rPr>
              <w:tab/>
            </w:r>
            <w:r>
              <w:rPr>
                <w:rFonts w:hint="eastAsia" w:ascii="宋体" w:hAnsi="宋体"/>
                <w:sz w:val="20"/>
                <w:szCs w:val="20"/>
              </w:rPr>
              <w:t>10次无损</w:t>
            </w:r>
          </w:p>
          <w:p>
            <w:pPr>
              <w:spacing w:line="320" w:lineRule="exact"/>
              <w:rPr>
                <w:rFonts w:ascii="宋体" w:hAnsi="宋体"/>
                <w:sz w:val="20"/>
                <w:szCs w:val="20"/>
              </w:rPr>
            </w:pPr>
            <w:r>
              <w:rPr>
                <w:rFonts w:hint="eastAsia" w:ascii="宋体" w:hAnsi="宋体"/>
                <w:sz w:val="20"/>
                <w:szCs w:val="20"/>
              </w:rPr>
              <w:t>耐化学腐蚀性</w:t>
            </w:r>
            <w:r>
              <w:rPr>
                <w:rFonts w:hint="eastAsia" w:ascii="宋体" w:hAnsi="宋体"/>
                <w:sz w:val="20"/>
                <w:szCs w:val="20"/>
              </w:rPr>
              <w:tab/>
            </w:r>
            <w:r>
              <w:rPr>
                <w:rFonts w:hint="eastAsia" w:ascii="宋体" w:hAnsi="宋体"/>
                <w:sz w:val="20"/>
                <w:szCs w:val="20"/>
              </w:rPr>
              <w:t>不低于UB级</w:t>
            </w:r>
          </w:p>
          <w:p>
            <w:pPr>
              <w:spacing w:line="320" w:lineRule="exact"/>
              <w:rPr>
                <w:rFonts w:ascii="宋体" w:hAnsi="宋体"/>
                <w:sz w:val="20"/>
                <w:szCs w:val="20"/>
              </w:rPr>
            </w:pPr>
            <w:r>
              <w:rPr>
                <w:rFonts w:hint="eastAsia" w:ascii="宋体" w:hAnsi="宋体"/>
                <w:sz w:val="20"/>
                <w:szCs w:val="20"/>
              </w:rPr>
              <w:t>放射性核元素限量</w:t>
            </w:r>
            <w:r>
              <w:rPr>
                <w:rFonts w:hint="eastAsia" w:ascii="宋体" w:hAnsi="宋体"/>
                <w:sz w:val="20"/>
                <w:szCs w:val="20"/>
              </w:rPr>
              <w:tab/>
            </w:r>
            <w:r>
              <w:rPr>
                <w:rFonts w:hint="eastAsia" w:ascii="宋体" w:hAnsi="宋体"/>
                <w:sz w:val="20"/>
                <w:szCs w:val="20"/>
              </w:rPr>
              <w:t>符合A类要求</w:t>
            </w:r>
          </w:p>
        </w:tc>
        <w:tc>
          <w:tcPr>
            <w:tcW w:w="1332" w:type="dxa"/>
            <w:vAlign w:val="center"/>
          </w:tcPr>
          <w:p>
            <w:pPr>
              <w:spacing w:line="240" w:lineRule="atLeas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612" w:hRule="atLeast"/>
        </w:trPr>
        <w:tc>
          <w:tcPr>
            <w:tcW w:w="472" w:type="dxa"/>
            <w:vAlign w:val="center"/>
          </w:tcPr>
          <w:p>
            <w:pPr>
              <w:jc w:val="center"/>
              <w:rPr>
                <w:rFonts w:ascii="宋体" w:hAnsi="宋体"/>
                <w:sz w:val="20"/>
                <w:szCs w:val="20"/>
              </w:rPr>
            </w:pPr>
            <w:r>
              <w:rPr>
                <w:rFonts w:hint="eastAsia" w:ascii="宋体" w:hAnsi="宋体"/>
                <w:sz w:val="20"/>
                <w:szCs w:val="20"/>
              </w:rPr>
              <w:t>10</w:t>
            </w:r>
          </w:p>
        </w:tc>
        <w:tc>
          <w:tcPr>
            <w:tcW w:w="1256" w:type="dxa"/>
            <w:vAlign w:val="center"/>
          </w:tcPr>
          <w:p>
            <w:pPr>
              <w:jc w:val="left"/>
              <w:rPr>
                <w:rFonts w:ascii="宋体" w:hAnsi="宋体"/>
                <w:sz w:val="20"/>
                <w:szCs w:val="20"/>
              </w:rPr>
            </w:pPr>
            <w:r>
              <w:rPr>
                <w:rFonts w:hint="eastAsia" w:ascii="宋体" w:hAnsi="宋体"/>
                <w:sz w:val="20"/>
                <w:szCs w:val="20"/>
              </w:rPr>
              <w:t>内墙瓷片</w:t>
            </w:r>
          </w:p>
        </w:tc>
        <w:tc>
          <w:tcPr>
            <w:tcW w:w="1080" w:type="dxa"/>
            <w:vAlign w:val="center"/>
          </w:tcPr>
          <w:p>
            <w:pPr>
              <w:jc w:val="left"/>
              <w:rPr>
                <w:sz w:val="20"/>
                <w:szCs w:val="20"/>
              </w:rPr>
            </w:pPr>
          </w:p>
        </w:tc>
        <w:tc>
          <w:tcPr>
            <w:tcW w:w="5220" w:type="dxa"/>
            <w:vAlign w:val="center"/>
          </w:tcPr>
          <w:p>
            <w:pPr>
              <w:spacing w:line="280" w:lineRule="exact"/>
              <w:ind w:right="-91"/>
              <w:jc w:val="left"/>
              <w:rPr>
                <w:rFonts w:ascii="宋体" w:hAnsi="宋体"/>
                <w:sz w:val="20"/>
                <w:szCs w:val="20"/>
              </w:rPr>
            </w:pPr>
            <w:r>
              <w:rPr>
                <w:rFonts w:hint="eastAsia" w:ascii="宋体" w:hAnsi="宋体"/>
                <w:sz w:val="20"/>
                <w:szCs w:val="20"/>
              </w:rPr>
              <w:t>符合国家标准的相关规定、环保要求及设计要求,</w:t>
            </w:r>
            <w:r>
              <w:rPr>
                <w:rFonts w:hint="eastAsia"/>
                <w:sz w:val="20"/>
                <w:szCs w:val="20"/>
              </w:rPr>
              <w:t>并符合如下要求：</w:t>
            </w:r>
          </w:p>
          <w:p>
            <w:pPr>
              <w:spacing w:line="320" w:lineRule="exact"/>
              <w:rPr>
                <w:rFonts w:ascii="宋体" w:hAnsi="宋体"/>
                <w:sz w:val="20"/>
                <w:szCs w:val="20"/>
              </w:rPr>
            </w:pPr>
            <w:r>
              <w:rPr>
                <w:rFonts w:hint="eastAsia" w:ascii="宋体" w:hAnsi="宋体"/>
                <w:sz w:val="20"/>
                <w:szCs w:val="20"/>
              </w:rPr>
              <w:t>吸水率（%）</w:t>
            </w:r>
            <w:r>
              <w:rPr>
                <w:rFonts w:hint="eastAsia" w:ascii="宋体" w:hAnsi="宋体"/>
                <w:sz w:val="20"/>
                <w:szCs w:val="20"/>
              </w:rPr>
              <w:tab/>
            </w:r>
            <w:r>
              <w:rPr>
                <w:rFonts w:hint="eastAsia" w:ascii="宋体" w:hAnsi="宋体"/>
                <w:sz w:val="20"/>
                <w:szCs w:val="20"/>
              </w:rPr>
              <w:t>E＞10</w:t>
            </w:r>
          </w:p>
          <w:p>
            <w:pPr>
              <w:spacing w:line="320" w:lineRule="exact"/>
              <w:rPr>
                <w:rFonts w:ascii="宋体" w:hAnsi="宋体"/>
                <w:sz w:val="20"/>
                <w:szCs w:val="20"/>
              </w:rPr>
            </w:pPr>
            <w:r>
              <w:rPr>
                <w:rFonts w:hint="eastAsia" w:ascii="宋体" w:hAnsi="宋体"/>
                <w:sz w:val="20"/>
                <w:szCs w:val="20"/>
              </w:rPr>
              <w:t>边直度</w:t>
            </w:r>
            <w:r>
              <w:rPr>
                <w:rFonts w:hint="eastAsia" w:ascii="宋体" w:hAnsi="宋体"/>
                <w:sz w:val="20"/>
                <w:szCs w:val="20"/>
              </w:rPr>
              <w:tab/>
            </w:r>
            <w:r>
              <w:rPr>
                <w:rFonts w:hint="eastAsia" w:ascii="宋体" w:hAnsi="宋体"/>
                <w:sz w:val="20"/>
                <w:szCs w:val="20"/>
              </w:rPr>
              <w:t>±0.3</w:t>
            </w:r>
          </w:p>
          <w:p>
            <w:pPr>
              <w:spacing w:line="320" w:lineRule="exact"/>
              <w:rPr>
                <w:rFonts w:ascii="宋体" w:hAnsi="宋体"/>
                <w:sz w:val="20"/>
                <w:szCs w:val="20"/>
              </w:rPr>
            </w:pPr>
            <w:r>
              <w:rPr>
                <w:rFonts w:hint="eastAsia" w:ascii="宋体" w:hAnsi="宋体"/>
                <w:sz w:val="20"/>
                <w:szCs w:val="20"/>
              </w:rPr>
              <w:t>厚度</w:t>
            </w:r>
            <w:r>
              <w:rPr>
                <w:rFonts w:hint="eastAsia" w:ascii="宋体" w:hAnsi="宋体"/>
                <w:sz w:val="20"/>
                <w:szCs w:val="20"/>
              </w:rPr>
              <w:tab/>
            </w:r>
            <w:r>
              <w:rPr>
                <w:rFonts w:hint="eastAsia" w:ascii="宋体" w:hAnsi="宋体"/>
                <w:sz w:val="20"/>
                <w:szCs w:val="20"/>
              </w:rPr>
              <w:t>±5</w:t>
            </w:r>
          </w:p>
          <w:p>
            <w:pPr>
              <w:spacing w:line="320" w:lineRule="exact"/>
              <w:rPr>
                <w:rFonts w:ascii="宋体" w:hAnsi="宋体"/>
                <w:sz w:val="20"/>
                <w:szCs w:val="20"/>
              </w:rPr>
            </w:pPr>
            <w:r>
              <w:rPr>
                <w:rFonts w:hint="eastAsia" w:ascii="宋体" w:hAnsi="宋体"/>
                <w:sz w:val="20"/>
                <w:szCs w:val="20"/>
              </w:rPr>
              <w:t>表面平整度</w:t>
            </w:r>
            <w:r>
              <w:rPr>
                <w:rFonts w:hint="eastAsia" w:ascii="宋体" w:hAnsi="宋体"/>
                <w:sz w:val="20"/>
                <w:szCs w:val="20"/>
              </w:rPr>
              <w:tab/>
            </w:r>
            <w:r>
              <w:rPr>
                <w:rFonts w:hint="eastAsia" w:ascii="宋体" w:hAnsi="宋体"/>
                <w:sz w:val="20"/>
                <w:szCs w:val="20"/>
              </w:rPr>
              <w:t>±0.4</w:t>
            </w:r>
          </w:p>
          <w:p>
            <w:pPr>
              <w:spacing w:line="320" w:lineRule="exact"/>
              <w:rPr>
                <w:rFonts w:ascii="宋体" w:hAnsi="宋体"/>
                <w:sz w:val="20"/>
                <w:szCs w:val="20"/>
              </w:rPr>
            </w:pPr>
            <w:r>
              <w:rPr>
                <w:rFonts w:hint="eastAsia" w:ascii="宋体" w:hAnsi="宋体"/>
                <w:sz w:val="20"/>
                <w:szCs w:val="20"/>
              </w:rPr>
              <w:t>尺寸偏差</w:t>
            </w:r>
            <w:r>
              <w:rPr>
                <w:rFonts w:hint="eastAsia" w:ascii="宋体" w:hAnsi="宋体"/>
                <w:sz w:val="20"/>
                <w:szCs w:val="20"/>
              </w:rPr>
              <w:tab/>
            </w:r>
            <w:r>
              <w:rPr>
                <w:rFonts w:hint="eastAsia" w:ascii="宋体" w:hAnsi="宋体"/>
                <w:sz w:val="20"/>
                <w:szCs w:val="20"/>
              </w:rPr>
              <w:t>L＜120mm±0.75</w:t>
            </w:r>
          </w:p>
          <w:p>
            <w:pPr>
              <w:spacing w:line="320" w:lineRule="exact"/>
              <w:rPr>
                <w:rFonts w:ascii="宋体" w:hAnsi="宋体"/>
                <w:sz w:val="20"/>
                <w:szCs w:val="20"/>
              </w:rPr>
            </w:pPr>
            <w:r>
              <w:rPr>
                <w:rFonts w:hint="eastAsia" w:ascii="宋体" w:hAnsi="宋体"/>
                <w:sz w:val="20"/>
                <w:szCs w:val="20"/>
              </w:rPr>
              <w:t>L＞120mm±0.75</w:t>
            </w:r>
          </w:p>
          <w:p>
            <w:pPr>
              <w:spacing w:line="320" w:lineRule="exact"/>
              <w:rPr>
                <w:rFonts w:ascii="宋体" w:hAnsi="宋体"/>
                <w:sz w:val="20"/>
                <w:szCs w:val="20"/>
              </w:rPr>
            </w:pPr>
            <w:r>
              <w:rPr>
                <w:rFonts w:hint="eastAsia" w:ascii="宋体" w:hAnsi="宋体"/>
                <w:sz w:val="20"/>
                <w:szCs w:val="20"/>
              </w:rPr>
              <w:t>断裂模数(MPa)</w:t>
            </w:r>
            <w:r>
              <w:rPr>
                <w:rFonts w:hint="eastAsia" w:ascii="宋体" w:hAnsi="宋体"/>
                <w:sz w:val="20"/>
                <w:szCs w:val="20"/>
              </w:rPr>
              <w:tab/>
            </w:r>
            <w:r>
              <w:rPr>
                <w:rFonts w:hint="eastAsia" w:ascii="宋体" w:hAnsi="宋体"/>
                <w:sz w:val="20"/>
                <w:szCs w:val="20"/>
              </w:rPr>
              <w:t>平均值≥15，单个值≥12</w:t>
            </w:r>
          </w:p>
          <w:p>
            <w:pPr>
              <w:spacing w:line="320" w:lineRule="exact"/>
              <w:rPr>
                <w:rFonts w:ascii="宋体" w:hAnsi="宋体"/>
                <w:sz w:val="20"/>
                <w:szCs w:val="20"/>
              </w:rPr>
            </w:pPr>
            <w:r>
              <w:rPr>
                <w:rFonts w:hint="eastAsia" w:ascii="宋体" w:hAnsi="宋体"/>
                <w:sz w:val="20"/>
                <w:szCs w:val="20"/>
              </w:rPr>
              <w:t>热稳定性</w:t>
            </w:r>
            <w:r>
              <w:rPr>
                <w:rFonts w:hint="eastAsia" w:ascii="宋体" w:hAnsi="宋体"/>
                <w:sz w:val="20"/>
                <w:szCs w:val="20"/>
              </w:rPr>
              <w:tab/>
            </w:r>
            <w:r>
              <w:rPr>
                <w:rFonts w:hint="eastAsia" w:ascii="宋体" w:hAnsi="宋体"/>
                <w:sz w:val="20"/>
                <w:szCs w:val="20"/>
              </w:rPr>
              <w:t>10次试验后不出现炸裂或裂纹</w:t>
            </w:r>
          </w:p>
          <w:p>
            <w:pPr>
              <w:spacing w:line="320" w:lineRule="exact"/>
              <w:rPr>
                <w:rFonts w:ascii="宋体" w:hAnsi="宋体"/>
                <w:sz w:val="20"/>
                <w:szCs w:val="20"/>
              </w:rPr>
            </w:pPr>
            <w:r>
              <w:rPr>
                <w:rFonts w:hint="eastAsia" w:ascii="宋体" w:hAnsi="宋体"/>
                <w:sz w:val="20"/>
                <w:szCs w:val="20"/>
              </w:rPr>
              <w:t>抗冻性</w:t>
            </w:r>
            <w:r>
              <w:rPr>
                <w:rFonts w:hint="eastAsia" w:ascii="宋体" w:hAnsi="宋体"/>
                <w:sz w:val="20"/>
                <w:szCs w:val="20"/>
              </w:rPr>
              <w:tab/>
            </w:r>
            <w:r>
              <w:rPr>
                <w:rFonts w:hint="eastAsia" w:ascii="宋体" w:hAnsi="宋体"/>
                <w:sz w:val="20"/>
                <w:szCs w:val="20"/>
              </w:rPr>
              <w:t>+5℃~-5℃循环100次无裂纹</w:t>
            </w:r>
          </w:p>
          <w:p>
            <w:pPr>
              <w:spacing w:line="320" w:lineRule="exact"/>
              <w:rPr>
                <w:rFonts w:ascii="宋体" w:hAnsi="宋体"/>
                <w:sz w:val="20"/>
                <w:szCs w:val="20"/>
              </w:rPr>
            </w:pPr>
            <w:r>
              <w:rPr>
                <w:rFonts w:hint="eastAsia" w:ascii="宋体" w:hAnsi="宋体"/>
                <w:sz w:val="20"/>
                <w:szCs w:val="20"/>
              </w:rPr>
              <w:t>耐腐蚀性</w:t>
            </w:r>
            <w:r>
              <w:rPr>
                <w:rFonts w:hint="eastAsia" w:ascii="宋体" w:hAnsi="宋体"/>
                <w:sz w:val="20"/>
                <w:szCs w:val="20"/>
              </w:rPr>
              <w:tab/>
            </w:r>
            <w:r>
              <w:rPr>
                <w:rFonts w:hint="eastAsia" w:ascii="宋体" w:hAnsi="宋体"/>
                <w:sz w:val="20"/>
                <w:szCs w:val="20"/>
              </w:rPr>
              <w:t>不低于GB级</w:t>
            </w:r>
          </w:p>
          <w:p>
            <w:pPr>
              <w:spacing w:line="320" w:lineRule="exact"/>
              <w:rPr>
                <w:rFonts w:ascii="宋体" w:hAnsi="宋体"/>
                <w:sz w:val="20"/>
                <w:szCs w:val="20"/>
              </w:rPr>
            </w:pPr>
            <w:r>
              <w:rPr>
                <w:rFonts w:hint="eastAsia" w:ascii="宋体" w:hAnsi="宋体"/>
                <w:sz w:val="20"/>
                <w:szCs w:val="20"/>
              </w:rPr>
              <w:t>抗龟裂性</w:t>
            </w:r>
            <w:r>
              <w:rPr>
                <w:rFonts w:hint="eastAsia" w:ascii="宋体" w:hAnsi="宋体"/>
                <w:sz w:val="20"/>
                <w:szCs w:val="20"/>
              </w:rPr>
              <w:tab/>
            </w:r>
            <w:r>
              <w:rPr>
                <w:rFonts w:hint="eastAsia" w:ascii="宋体" w:hAnsi="宋体"/>
                <w:sz w:val="20"/>
                <w:szCs w:val="20"/>
              </w:rPr>
              <w:t>经试验无裂纹或剥落</w:t>
            </w:r>
          </w:p>
          <w:p>
            <w:pPr>
              <w:spacing w:line="320" w:lineRule="exact"/>
              <w:rPr>
                <w:rFonts w:ascii="宋体" w:hAnsi="宋体"/>
                <w:sz w:val="20"/>
                <w:szCs w:val="20"/>
              </w:rPr>
            </w:pPr>
            <w:r>
              <w:rPr>
                <w:rFonts w:hint="eastAsia" w:ascii="宋体" w:hAnsi="宋体"/>
                <w:sz w:val="20"/>
                <w:szCs w:val="20"/>
              </w:rPr>
              <w:t>耐污性</w:t>
            </w:r>
            <w:r>
              <w:rPr>
                <w:rFonts w:hint="eastAsia" w:ascii="宋体" w:hAnsi="宋体"/>
                <w:sz w:val="20"/>
                <w:szCs w:val="20"/>
              </w:rPr>
              <w:tab/>
            </w:r>
            <w:r>
              <w:rPr>
                <w:rFonts w:hint="eastAsia" w:ascii="宋体" w:hAnsi="宋体"/>
                <w:sz w:val="20"/>
                <w:szCs w:val="20"/>
              </w:rPr>
              <w:t>最低3级</w:t>
            </w:r>
          </w:p>
          <w:p>
            <w:pPr>
              <w:spacing w:line="320" w:lineRule="exact"/>
              <w:rPr>
                <w:rFonts w:ascii="宋体" w:hAnsi="宋体"/>
                <w:sz w:val="20"/>
                <w:szCs w:val="20"/>
              </w:rPr>
            </w:pPr>
            <w:r>
              <w:rPr>
                <w:rFonts w:hint="eastAsia" w:ascii="宋体" w:hAnsi="宋体"/>
                <w:sz w:val="20"/>
                <w:szCs w:val="20"/>
              </w:rPr>
              <w:t>表面目测质量(M)</w:t>
            </w:r>
            <w:r>
              <w:rPr>
                <w:rFonts w:hint="eastAsia" w:ascii="宋体" w:hAnsi="宋体"/>
                <w:sz w:val="20"/>
                <w:szCs w:val="20"/>
              </w:rPr>
              <w:tab/>
            </w:r>
            <w:r>
              <w:rPr>
                <w:rFonts w:hint="eastAsia" w:ascii="宋体" w:hAnsi="宋体"/>
                <w:sz w:val="20"/>
                <w:szCs w:val="20"/>
              </w:rPr>
              <w:t>0.8M目测至少95%的砖主要区域无明显缺陷</w:t>
            </w:r>
          </w:p>
        </w:tc>
        <w:tc>
          <w:tcPr>
            <w:tcW w:w="1332" w:type="dxa"/>
            <w:vAlign w:val="center"/>
          </w:tcPr>
          <w:p>
            <w:pPr>
              <w:spacing w:line="240" w:lineRule="atLeas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2949" w:hRule="atLeast"/>
        </w:trPr>
        <w:tc>
          <w:tcPr>
            <w:tcW w:w="472" w:type="dxa"/>
            <w:vAlign w:val="center"/>
          </w:tcPr>
          <w:p>
            <w:pPr>
              <w:jc w:val="center"/>
              <w:rPr>
                <w:rFonts w:ascii="宋体" w:hAnsi="宋体"/>
                <w:sz w:val="20"/>
                <w:szCs w:val="20"/>
              </w:rPr>
            </w:pPr>
            <w:r>
              <w:rPr>
                <w:rFonts w:hint="eastAsia" w:ascii="宋体" w:hAnsi="宋体"/>
                <w:sz w:val="20"/>
                <w:szCs w:val="20"/>
              </w:rPr>
              <w:t>11</w:t>
            </w:r>
          </w:p>
        </w:tc>
        <w:tc>
          <w:tcPr>
            <w:tcW w:w="1256" w:type="dxa"/>
            <w:vAlign w:val="center"/>
          </w:tcPr>
          <w:p>
            <w:pPr>
              <w:jc w:val="left"/>
              <w:rPr>
                <w:rFonts w:ascii="宋体" w:hAnsi="宋体"/>
                <w:sz w:val="20"/>
                <w:szCs w:val="20"/>
              </w:rPr>
            </w:pPr>
            <w:r>
              <w:rPr>
                <w:rFonts w:hint="eastAsia" w:ascii="宋体" w:hAnsi="宋体"/>
                <w:sz w:val="20"/>
                <w:szCs w:val="20"/>
              </w:rPr>
              <w:t>仿古砖</w:t>
            </w:r>
          </w:p>
        </w:tc>
        <w:tc>
          <w:tcPr>
            <w:tcW w:w="1080" w:type="dxa"/>
            <w:vAlign w:val="center"/>
          </w:tcPr>
          <w:p>
            <w:pPr>
              <w:jc w:val="left"/>
              <w:rPr>
                <w:sz w:val="20"/>
                <w:szCs w:val="20"/>
              </w:rPr>
            </w:pPr>
          </w:p>
        </w:tc>
        <w:tc>
          <w:tcPr>
            <w:tcW w:w="5220" w:type="dxa"/>
            <w:vAlign w:val="center"/>
          </w:tcPr>
          <w:p>
            <w:pPr>
              <w:spacing w:line="280" w:lineRule="exact"/>
              <w:ind w:right="-91"/>
              <w:jc w:val="left"/>
              <w:rPr>
                <w:rFonts w:ascii="宋体" w:hAnsi="宋体"/>
                <w:sz w:val="20"/>
                <w:szCs w:val="20"/>
              </w:rPr>
            </w:pPr>
            <w:r>
              <w:rPr>
                <w:rFonts w:hint="eastAsia" w:ascii="宋体" w:hAnsi="宋体"/>
                <w:sz w:val="20"/>
                <w:szCs w:val="20"/>
              </w:rPr>
              <w:t>符合国家标准的相关规定、环保要求及设计要求,</w:t>
            </w:r>
            <w:r>
              <w:rPr>
                <w:rFonts w:hint="eastAsia"/>
                <w:sz w:val="20"/>
                <w:szCs w:val="20"/>
              </w:rPr>
              <w:t>并符合如下要求：</w:t>
            </w:r>
          </w:p>
          <w:p>
            <w:pPr>
              <w:spacing w:line="320" w:lineRule="exact"/>
              <w:rPr>
                <w:rFonts w:ascii="宋体" w:hAnsi="宋体"/>
                <w:sz w:val="20"/>
                <w:szCs w:val="20"/>
              </w:rPr>
            </w:pPr>
            <w:r>
              <w:rPr>
                <w:rFonts w:hint="eastAsia" w:ascii="宋体" w:hAnsi="宋体"/>
                <w:sz w:val="20"/>
                <w:szCs w:val="20"/>
              </w:rPr>
              <w:t>吸水率（%）</w:t>
            </w:r>
            <w:r>
              <w:rPr>
                <w:rFonts w:hint="eastAsia" w:ascii="宋体" w:hAnsi="宋体"/>
                <w:sz w:val="20"/>
                <w:szCs w:val="20"/>
              </w:rPr>
              <w:tab/>
            </w:r>
            <w:r>
              <w:rPr>
                <w:rFonts w:hint="eastAsia" w:ascii="宋体" w:hAnsi="宋体"/>
                <w:sz w:val="20"/>
                <w:szCs w:val="20"/>
              </w:rPr>
              <w:t>平均值≤0.5，单个值≤0.6</w:t>
            </w:r>
          </w:p>
          <w:p>
            <w:pPr>
              <w:spacing w:line="320" w:lineRule="exact"/>
              <w:rPr>
                <w:rFonts w:ascii="宋体" w:hAnsi="宋体"/>
                <w:sz w:val="20"/>
                <w:szCs w:val="20"/>
              </w:rPr>
            </w:pPr>
            <w:r>
              <w:rPr>
                <w:rFonts w:hint="eastAsia" w:ascii="宋体" w:hAnsi="宋体"/>
                <w:sz w:val="20"/>
                <w:szCs w:val="20"/>
              </w:rPr>
              <w:t>边直度</w:t>
            </w:r>
            <w:r>
              <w:rPr>
                <w:rFonts w:hint="eastAsia" w:ascii="宋体" w:hAnsi="宋体"/>
                <w:sz w:val="20"/>
                <w:szCs w:val="20"/>
              </w:rPr>
              <w:tab/>
            </w:r>
            <w:r>
              <w:rPr>
                <w:rFonts w:hint="eastAsia" w:ascii="宋体" w:hAnsi="宋体"/>
                <w:sz w:val="20"/>
                <w:szCs w:val="20"/>
              </w:rPr>
              <w:t>±0.3</w:t>
            </w:r>
          </w:p>
          <w:p>
            <w:pPr>
              <w:spacing w:line="320" w:lineRule="exact"/>
              <w:rPr>
                <w:rFonts w:ascii="宋体" w:hAnsi="宋体"/>
                <w:sz w:val="20"/>
                <w:szCs w:val="20"/>
              </w:rPr>
            </w:pPr>
            <w:r>
              <w:rPr>
                <w:rFonts w:hint="eastAsia" w:ascii="宋体" w:hAnsi="宋体"/>
                <w:sz w:val="20"/>
                <w:szCs w:val="20"/>
              </w:rPr>
              <w:t>厚度</w:t>
            </w:r>
            <w:r>
              <w:rPr>
                <w:rFonts w:hint="eastAsia" w:ascii="宋体" w:hAnsi="宋体"/>
                <w:sz w:val="20"/>
                <w:szCs w:val="20"/>
              </w:rPr>
              <w:tab/>
            </w:r>
            <w:r>
              <w:rPr>
                <w:rFonts w:hint="eastAsia" w:ascii="宋体" w:hAnsi="宋体"/>
                <w:sz w:val="20"/>
                <w:szCs w:val="20"/>
              </w:rPr>
              <w:t>±5</w:t>
            </w:r>
          </w:p>
          <w:p>
            <w:pPr>
              <w:spacing w:line="320" w:lineRule="exact"/>
              <w:rPr>
                <w:rFonts w:ascii="宋体" w:hAnsi="宋体"/>
                <w:sz w:val="20"/>
                <w:szCs w:val="20"/>
              </w:rPr>
            </w:pPr>
            <w:r>
              <w:rPr>
                <w:rFonts w:hint="eastAsia" w:ascii="宋体" w:hAnsi="宋体"/>
                <w:sz w:val="20"/>
                <w:szCs w:val="20"/>
              </w:rPr>
              <w:t>表面平整度</w:t>
            </w:r>
            <w:r>
              <w:rPr>
                <w:rFonts w:hint="eastAsia" w:ascii="宋体" w:hAnsi="宋体"/>
                <w:sz w:val="20"/>
                <w:szCs w:val="20"/>
              </w:rPr>
              <w:tab/>
            </w:r>
            <w:r>
              <w:rPr>
                <w:rFonts w:hint="eastAsia" w:ascii="宋体" w:hAnsi="宋体"/>
                <w:sz w:val="20"/>
                <w:szCs w:val="20"/>
              </w:rPr>
              <w:t>±0.4</w:t>
            </w:r>
          </w:p>
          <w:p>
            <w:pPr>
              <w:spacing w:line="320" w:lineRule="exact"/>
              <w:rPr>
                <w:rFonts w:ascii="宋体" w:hAnsi="宋体"/>
                <w:sz w:val="20"/>
                <w:szCs w:val="20"/>
              </w:rPr>
            </w:pPr>
            <w:r>
              <w:rPr>
                <w:rFonts w:hint="eastAsia" w:ascii="宋体" w:hAnsi="宋体"/>
                <w:sz w:val="20"/>
                <w:szCs w:val="20"/>
              </w:rPr>
              <w:t>断裂模数(Mpa)</w:t>
            </w:r>
            <w:r>
              <w:rPr>
                <w:rFonts w:hint="eastAsia" w:ascii="宋体" w:hAnsi="宋体"/>
                <w:sz w:val="20"/>
                <w:szCs w:val="20"/>
              </w:rPr>
              <w:tab/>
            </w:r>
            <w:r>
              <w:rPr>
                <w:rFonts w:hint="eastAsia" w:ascii="宋体" w:hAnsi="宋体"/>
                <w:sz w:val="20"/>
                <w:szCs w:val="20"/>
              </w:rPr>
              <w:t>平均值≥35，单个值≥32</w:t>
            </w:r>
          </w:p>
          <w:p>
            <w:pPr>
              <w:spacing w:line="320" w:lineRule="exact"/>
              <w:rPr>
                <w:rFonts w:ascii="宋体" w:hAnsi="宋体"/>
                <w:sz w:val="20"/>
                <w:szCs w:val="20"/>
              </w:rPr>
            </w:pPr>
            <w:r>
              <w:rPr>
                <w:rFonts w:hint="eastAsia" w:ascii="宋体" w:hAnsi="宋体"/>
                <w:sz w:val="20"/>
                <w:szCs w:val="20"/>
              </w:rPr>
              <w:t>破坏强度（N）</w:t>
            </w:r>
            <w:r>
              <w:rPr>
                <w:rFonts w:hint="eastAsia" w:ascii="宋体" w:hAnsi="宋体"/>
                <w:sz w:val="20"/>
                <w:szCs w:val="20"/>
              </w:rPr>
              <w:tab/>
            </w:r>
            <w:r>
              <w:rPr>
                <w:rFonts w:hint="eastAsia" w:ascii="宋体" w:hAnsi="宋体"/>
                <w:sz w:val="20"/>
                <w:szCs w:val="20"/>
              </w:rPr>
              <w:t>厚度≥7.5mm，平均值≥1300</w:t>
            </w:r>
          </w:p>
          <w:p>
            <w:pPr>
              <w:spacing w:line="320" w:lineRule="exact"/>
              <w:rPr>
                <w:rFonts w:ascii="宋体" w:hAnsi="宋体"/>
                <w:sz w:val="20"/>
                <w:szCs w:val="20"/>
              </w:rPr>
            </w:pPr>
            <w:r>
              <w:rPr>
                <w:rFonts w:hint="eastAsia" w:ascii="宋体" w:hAnsi="宋体"/>
                <w:sz w:val="20"/>
                <w:szCs w:val="20"/>
              </w:rPr>
              <w:t>厚度＜7.5mm，平均值≥700</w:t>
            </w:r>
          </w:p>
          <w:p>
            <w:pPr>
              <w:spacing w:line="320" w:lineRule="exact"/>
              <w:rPr>
                <w:rFonts w:ascii="宋体" w:hAnsi="宋体"/>
                <w:sz w:val="20"/>
                <w:szCs w:val="20"/>
              </w:rPr>
            </w:pPr>
            <w:r>
              <w:rPr>
                <w:rFonts w:hint="eastAsia" w:ascii="宋体" w:hAnsi="宋体"/>
                <w:sz w:val="20"/>
                <w:szCs w:val="20"/>
              </w:rPr>
              <w:t>耐污性</w:t>
            </w:r>
            <w:r>
              <w:rPr>
                <w:rFonts w:hint="eastAsia" w:ascii="宋体" w:hAnsi="宋体"/>
                <w:sz w:val="20"/>
                <w:szCs w:val="20"/>
              </w:rPr>
              <w:tab/>
            </w:r>
            <w:r>
              <w:rPr>
                <w:rFonts w:hint="eastAsia" w:ascii="宋体" w:hAnsi="宋体"/>
                <w:sz w:val="20"/>
                <w:szCs w:val="20"/>
              </w:rPr>
              <w:t>最低3级</w:t>
            </w:r>
          </w:p>
          <w:p>
            <w:pPr>
              <w:spacing w:line="320" w:lineRule="exact"/>
              <w:rPr>
                <w:rFonts w:ascii="宋体" w:hAnsi="宋体"/>
                <w:sz w:val="20"/>
                <w:szCs w:val="20"/>
              </w:rPr>
            </w:pPr>
            <w:r>
              <w:rPr>
                <w:rFonts w:hint="eastAsia" w:ascii="宋体" w:hAnsi="宋体"/>
                <w:sz w:val="20"/>
                <w:szCs w:val="20"/>
              </w:rPr>
              <w:t>抗冻性</w:t>
            </w:r>
            <w:r>
              <w:rPr>
                <w:rFonts w:hint="eastAsia" w:ascii="宋体" w:hAnsi="宋体"/>
                <w:sz w:val="20"/>
                <w:szCs w:val="20"/>
              </w:rPr>
              <w:tab/>
            </w:r>
            <w:r>
              <w:rPr>
                <w:rFonts w:hint="eastAsia" w:ascii="宋体" w:hAnsi="宋体"/>
                <w:sz w:val="20"/>
                <w:szCs w:val="20"/>
              </w:rPr>
              <w:t>经试验应无裂纹或剥落</w:t>
            </w:r>
          </w:p>
          <w:p>
            <w:pPr>
              <w:spacing w:line="320" w:lineRule="exact"/>
              <w:rPr>
                <w:rFonts w:ascii="宋体" w:hAnsi="宋体"/>
                <w:sz w:val="20"/>
                <w:szCs w:val="20"/>
              </w:rPr>
            </w:pPr>
            <w:r>
              <w:rPr>
                <w:rFonts w:hint="eastAsia" w:ascii="宋体" w:hAnsi="宋体"/>
                <w:sz w:val="20"/>
                <w:szCs w:val="20"/>
              </w:rPr>
              <w:t>耐酸碱性</w:t>
            </w:r>
            <w:r>
              <w:rPr>
                <w:rFonts w:hint="eastAsia" w:ascii="宋体" w:hAnsi="宋体"/>
                <w:sz w:val="20"/>
                <w:szCs w:val="20"/>
              </w:rPr>
              <w:tab/>
            </w:r>
            <w:r>
              <w:rPr>
                <w:rFonts w:hint="eastAsia" w:ascii="宋体" w:hAnsi="宋体"/>
                <w:sz w:val="20"/>
                <w:szCs w:val="20"/>
              </w:rPr>
              <w:t>有釉砖不低于GB级</w:t>
            </w:r>
          </w:p>
          <w:p>
            <w:pPr>
              <w:spacing w:line="320" w:lineRule="exact"/>
              <w:rPr>
                <w:rFonts w:ascii="宋体" w:hAnsi="宋体"/>
                <w:sz w:val="20"/>
                <w:szCs w:val="20"/>
              </w:rPr>
            </w:pPr>
            <w:r>
              <w:rPr>
                <w:rFonts w:hint="eastAsia" w:ascii="宋体" w:hAnsi="宋体"/>
                <w:sz w:val="20"/>
                <w:szCs w:val="20"/>
              </w:rPr>
              <w:t>无釉砖不低于UB级</w:t>
            </w:r>
          </w:p>
          <w:p>
            <w:pPr>
              <w:spacing w:line="320" w:lineRule="exact"/>
              <w:rPr>
                <w:rFonts w:ascii="宋体" w:hAnsi="宋体"/>
                <w:sz w:val="20"/>
                <w:szCs w:val="20"/>
              </w:rPr>
            </w:pPr>
            <w:r>
              <w:rPr>
                <w:rFonts w:hint="eastAsia" w:ascii="宋体" w:hAnsi="宋体"/>
                <w:sz w:val="20"/>
                <w:szCs w:val="20"/>
              </w:rPr>
              <w:t>表面目测质量(M)</w:t>
            </w:r>
            <w:r>
              <w:rPr>
                <w:rFonts w:hint="eastAsia" w:ascii="宋体" w:hAnsi="宋体"/>
                <w:sz w:val="20"/>
                <w:szCs w:val="20"/>
              </w:rPr>
              <w:tab/>
            </w:r>
            <w:r>
              <w:rPr>
                <w:rFonts w:hint="eastAsia" w:ascii="宋体" w:hAnsi="宋体"/>
                <w:sz w:val="20"/>
                <w:szCs w:val="20"/>
              </w:rPr>
              <w:t>0.8M目测至少95%的砖</w:t>
            </w:r>
          </w:p>
          <w:p>
            <w:pPr>
              <w:spacing w:line="320" w:lineRule="exact"/>
              <w:rPr>
                <w:rFonts w:ascii="宋体" w:hAnsi="宋体"/>
                <w:sz w:val="20"/>
                <w:szCs w:val="20"/>
              </w:rPr>
            </w:pPr>
            <w:r>
              <w:rPr>
                <w:rFonts w:hint="eastAsia" w:ascii="宋体" w:hAnsi="宋体"/>
                <w:sz w:val="20"/>
                <w:szCs w:val="20"/>
              </w:rPr>
              <w:t>主要区域无明显缺陷</w:t>
            </w: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765" w:hRule="atLeast"/>
        </w:trPr>
        <w:tc>
          <w:tcPr>
            <w:tcW w:w="472" w:type="dxa"/>
            <w:vAlign w:val="center"/>
          </w:tcPr>
          <w:p>
            <w:pPr>
              <w:rPr>
                <w:rFonts w:ascii="宋体" w:hAnsi="宋体"/>
                <w:sz w:val="20"/>
                <w:szCs w:val="20"/>
              </w:rPr>
            </w:pPr>
            <w:r>
              <w:rPr>
                <w:rFonts w:hint="eastAsia" w:ascii="宋体" w:hAnsi="宋体"/>
                <w:sz w:val="20"/>
                <w:szCs w:val="20"/>
              </w:rPr>
              <w:t>17</w:t>
            </w:r>
          </w:p>
        </w:tc>
        <w:tc>
          <w:tcPr>
            <w:tcW w:w="1256" w:type="dxa"/>
            <w:tcBorders>
              <w:right w:val="single" w:color="auto" w:sz="4" w:space="0"/>
            </w:tcBorders>
            <w:vAlign w:val="center"/>
          </w:tcPr>
          <w:p>
            <w:pPr>
              <w:ind w:right="-33"/>
              <w:jc w:val="left"/>
              <w:rPr>
                <w:rFonts w:ascii="宋体" w:hAnsi="宋体"/>
                <w:sz w:val="20"/>
                <w:szCs w:val="20"/>
              </w:rPr>
            </w:pPr>
            <w:r>
              <w:rPr>
                <w:rFonts w:hint="eastAsia" w:ascii="宋体" w:hAnsi="宋体"/>
                <w:sz w:val="20"/>
                <w:szCs w:val="20"/>
              </w:rPr>
              <w:t>内墙乳胶漆</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室内墙面、天花</w:t>
            </w:r>
          </w:p>
        </w:tc>
        <w:tc>
          <w:tcPr>
            <w:tcW w:w="5220" w:type="dxa"/>
            <w:tcBorders>
              <w:left w:val="single" w:color="auto" w:sz="4" w:space="0"/>
            </w:tcBorders>
          </w:tcPr>
          <w:p>
            <w:pPr>
              <w:spacing w:line="300" w:lineRule="exact"/>
              <w:rPr>
                <w:rFonts w:ascii="宋体" w:hAnsi="宋体"/>
                <w:sz w:val="20"/>
                <w:szCs w:val="20"/>
              </w:rPr>
            </w:pPr>
            <w:r>
              <w:rPr>
                <w:rFonts w:hint="eastAsia" w:ascii="宋体" w:hAnsi="宋体"/>
                <w:sz w:val="20"/>
                <w:szCs w:val="20"/>
              </w:rPr>
              <w:t>符合国家标准的相关规定、环保要求及设计要求，经过国家ISO国际质量认证，环保认证必须符合国家强制性标准（GB18582-2001） 《室内装饰装修材料内墙涂料中有害物质限量》的要求和3C认证，</w:t>
            </w:r>
            <w:r>
              <w:rPr>
                <w:rFonts w:hint="eastAsia"/>
                <w:sz w:val="20"/>
                <w:szCs w:val="20"/>
              </w:rPr>
              <w:t>并符合如下要求：</w:t>
            </w:r>
          </w:p>
          <w:p>
            <w:pPr>
              <w:tabs>
                <w:tab w:val="left" w:pos="1935"/>
              </w:tabs>
              <w:spacing w:line="300" w:lineRule="exact"/>
              <w:rPr>
                <w:rFonts w:ascii="宋体" w:hAnsi="宋体"/>
                <w:sz w:val="20"/>
                <w:szCs w:val="20"/>
              </w:rPr>
            </w:pPr>
            <w:r>
              <w:rPr>
                <w:rFonts w:hint="eastAsia" w:ascii="宋体" w:hAnsi="宋体"/>
                <w:sz w:val="20"/>
                <w:szCs w:val="20"/>
              </w:rPr>
              <w:t>1.耐擦洗性能：≥10000次</w:t>
            </w:r>
          </w:p>
          <w:p>
            <w:pPr>
              <w:tabs>
                <w:tab w:val="left" w:pos="1935"/>
              </w:tabs>
              <w:spacing w:line="300" w:lineRule="exact"/>
              <w:rPr>
                <w:rFonts w:ascii="宋体" w:hAnsi="宋体"/>
                <w:sz w:val="20"/>
                <w:szCs w:val="20"/>
              </w:rPr>
            </w:pPr>
            <w:r>
              <w:rPr>
                <w:rFonts w:hint="eastAsia" w:ascii="宋体" w:hAnsi="宋体"/>
                <w:sz w:val="20"/>
                <w:szCs w:val="20"/>
              </w:rPr>
              <w:t>2.干燥时间(表干)：≤2.0小时</w:t>
            </w:r>
          </w:p>
          <w:p>
            <w:pPr>
              <w:tabs>
                <w:tab w:val="left" w:pos="1935"/>
              </w:tabs>
              <w:spacing w:line="300" w:lineRule="exact"/>
              <w:rPr>
                <w:rFonts w:ascii="宋体" w:hAnsi="宋体"/>
                <w:sz w:val="20"/>
                <w:szCs w:val="20"/>
              </w:rPr>
            </w:pPr>
            <w:r>
              <w:rPr>
                <w:rFonts w:hint="eastAsia" w:ascii="宋体" w:hAnsi="宋体"/>
                <w:sz w:val="20"/>
                <w:szCs w:val="20"/>
              </w:rPr>
              <w:t>3.耐水性：较好</w:t>
            </w:r>
          </w:p>
          <w:p>
            <w:pPr>
              <w:spacing w:line="300" w:lineRule="exact"/>
              <w:rPr>
                <w:rFonts w:ascii="宋体" w:hAnsi="宋体"/>
                <w:sz w:val="20"/>
                <w:szCs w:val="20"/>
              </w:rPr>
            </w:pPr>
            <w:r>
              <w:rPr>
                <w:rFonts w:hint="eastAsia" w:ascii="宋体" w:hAnsi="宋体"/>
                <w:sz w:val="20"/>
                <w:szCs w:val="20"/>
              </w:rPr>
              <w:t>4.耐碱性：</w:t>
            </w:r>
            <w:r>
              <w:rPr>
                <w:rFonts w:ascii="宋体" w:hAnsi="宋体"/>
                <w:sz w:val="20"/>
                <w:szCs w:val="20"/>
              </w:rPr>
              <w:t>(48h</w:t>
            </w:r>
            <w:r>
              <w:rPr>
                <w:rFonts w:hint="eastAsia" w:ascii="宋体" w:hAnsi="宋体"/>
                <w:sz w:val="20"/>
                <w:szCs w:val="20"/>
              </w:rPr>
              <w:t>，饱和氢氧化钙溶液)无异常</w:t>
            </w:r>
          </w:p>
          <w:p>
            <w:pPr>
              <w:tabs>
                <w:tab w:val="left" w:pos="1935"/>
              </w:tabs>
              <w:spacing w:line="300" w:lineRule="exact"/>
              <w:rPr>
                <w:rFonts w:ascii="宋体" w:hAnsi="宋体"/>
                <w:sz w:val="20"/>
                <w:szCs w:val="20"/>
              </w:rPr>
            </w:pPr>
            <w:r>
              <w:rPr>
                <w:rFonts w:hint="eastAsia" w:ascii="宋体" w:hAnsi="宋体"/>
                <w:sz w:val="20"/>
                <w:szCs w:val="20"/>
              </w:rPr>
              <w:t>5.黏度（s）： 30～75</w:t>
            </w:r>
          </w:p>
          <w:p>
            <w:pPr>
              <w:tabs>
                <w:tab w:val="left" w:pos="1935"/>
              </w:tabs>
              <w:spacing w:line="300" w:lineRule="exact"/>
              <w:rPr>
                <w:rFonts w:ascii="宋体" w:hAnsi="宋体"/>
                <w:sz w:val="20"/>
                <w:szCs w:val="20"/>
              </w:rPr>
            </w:pPr>
            <w:r>
              <w:rPr>
                <w:rFonts w:hint="eastAsia" w:ascii="宋体" w:hAnsi="宋体"/>
                <w:sz w:val="20"/>
                <w:szCs w:val="20"/>
              </w:rPr>
              <w:t>6.细度(um)：≤100</w:t>
            </w:r>
          </w:p>
          <w:p>
            <w:pPr>
              <w:tabs>
                <w:tab w:val="left" w:pos="1935"/>
              </w:tabs>
              <w:spacing w:line="300" w:lineRule="exact"/>
              <w:rPr>
                <w:rFonts w:ascii="宋体" w:hAnsi="宋体"/>
                <w:sz w:val="20"/>
                <w:szCs w:val="20"/>
              </w:rPr>
            </w:pPr>
            <w:r>
              <w:rPr>
                <w:rFonts w:hint="eastAsia" w:ascii="宋体" w:hAnsi="宋体"/>
                <w:sz w:val="20"/>
                <w:szCs w:val="20"/>
              </w:rPr>
              <w:t>7.遮盖力(g/㎡) ：≤300</w:t>
            </w:r>
          </w:p>
          <w:p>
            <w:pPr>
              <w:spacing w:line="300" w:lineRule="exact"/>
              <w:rPr>
                <w:rFonts w:ascii="宋体" w:hAnsi="宋体"/>
                <w:sz w:val="20"/>
                <w:szCs w:val="20"/>
              </w:rPr>
            </w:pPr>
            <w:r>
              <w:rPr>
                <w:rFonts w:hint="eastAsia" w:ascii="宋体" w:hAnsi="宋体"/>
                <w:sz w:val="20"/>
                <w:szCs w:val="20"/>
              </w:rPr>
              <w:t>8.对比率（白色和浅色）≥0</w:t>
            </w:r>
            <w:r>
              <w:rPr>
                <w:rFonts w:ascii="宋体" w:hAnsi="宋体"/>
                <w:sz w:val="20"/>
                <w:szCs w:val="20"/>
              </w:rPr>
              <w:t>.90</w:t>
            </w:r>
          </w:p>
          <w:p>
            <w:pPr>
              <w:tabs>
                <w:tab w:val="left" w:pos="1935"/>
              </w:tabs>
              <w:spacing w:line="300" w:lineRule="exact"/>
              <w:rPr>
                <w:rFonts w:ascii="宋体" w:hAnsi="宋体"/>
                <w:sz w:val="20"/>
                <w:szCs w:val="20"/>
              </w:rPr>
            </w:pPr>
            <w:r>
              <w:rPr>
                <w:rFonts w:hint="eastAsia" w:ascii="宋体" w:hAnsi="宋体"/>
                <w:sz w:val="20"/>
                <w:szCs w:val="20"/>
              </w:rPr>
              <w:t>9.附着力(%)：100</w:t>
            </w:r>
          </w:p>
          <w:p>
            <w:pPr>
              <w:spacing w:line="300" w:lineRule="exact"/>
              <w:rPr>
                <w:rFonts w:ascii="宋体" w:hAnsi="宋体"/>
                <w:sz w:val="20"/>
                <w:szCs w:val="20"/>
              </w:rPr>
            </w:pPr>
            <w:r>
              <w:rPr>
                <w:rFonts w:hint="eastAsia" w:ascii="宋体" w:hAnsi="宋体"/>
                <w:sz w:val="20"/>
                <w:szCs w:val="20"/>
              </w:rPr>
              <w:t>10.耐沾染性（%）：≤30</w:t>
            </w:r>
          </w:p>
          <w:p>
            <w:pPr>
              <w:spacing w:line="300" w:lineRule="exact"/>
              <w:rPr>
                <w:rFonts w:ascii="宋体" w:hAnsi="宋体"/>
                <w:sz w:val="20"/>
                <w:szCs w:val="20"/>
              </w:rPr>
            </w:pPr>
            <w:r>
              <w:rPr>
                <w:rFonts w:hint="eastAsia" w:ascii="宋体" w:hAnsi="宋体"/>
                <w:sz w:val="20"/>
                <w:szCs w:val="20"/>
              </w:rPr>
              <w:t>11.延伸率（%）：≥150</w:t>
            </w:r>
          </w:p>
          <w:p>
            <w:pPr>
              <w:spacing w:line="300" w:lineRule="exact"/>
              <w:rPr>
                <w:rFonts w:ascii="宋体" w:hAnsi="宋体"/>
                <w:sz w:val="20"/>
                <w:szCs w:val="20"/>
              </w:rPr>
            </w:pPr>
            <w:r>
              <w:rPr>
                <w:rFonts w:hint="eastAsia" w:ascii="宋体" w:hAnsi="宋体"/>
                <w:sz w:val="20"/>
                <w:szCs w:val="20"/>
              </w:rPr>
              <w:t>12.涂膜口红污染试验：通过</w:t>
            </w:r>
          </w:p>
          <w:p>
            <w:pPr>
              <w:spacing w:line="300" w:lineRule="exact"/>
              <w:rPr>
                <w:rFonts w:ascii="宋体" w:hAnsi="宋体"/>
                <w:sz w:val="20"/>
                <w:szCs w:val="20"/>
              </w:rPr>
            </w:pPr>
            <w:r>
              <w:rPr>
                <w:rFonts w:hint="eastAsia" w:ascii="宋体" w:hAnsi="宋体"/>
                <w:sz w:val="20"/>
                <w:szCs w:val="20"/>
              </w:rPr>
              <w:t>13.游离甲醛（</w:t>
            </w:r>
            <w:r>
              <w:rPr>
                <w:rFonts w:ascii="宋体" w:hAnsi="宋体"/>
                <w:sz w:val="20"/>
                <w:szCs w:val="20"/>
              </w:rPr>
              <w:t>g/kg</w:t>
            </w:r>
            <w:r>
              <w:rPr>
                <w:rFonts w:hint="eastAsia" w:ascii="宋体" w:hAnsi="宋体"/>
                <w:sz w:val="20"/>
                <w:szCs w:val="20"/>
              </w:rPr>
              <w:t>）≤</w:t>
            </w:r>
            <w:r>
              <w:rPr>
                <w:rFonts w:ascii="宋体" w:hAnsi="宋体"/>
                <w:sz w:val="20"/>
                <w:szCs w:val="20"/>
              </w:rPr>
              <w:t>0.1</w:t>
            </w:r>
          </w:p>
          <w:p>
            <w:pPr>
              <w:spacing w:line="300" w:lineRule="exact"/>
              <w:rPr>
                <w:rFonts w:ascii="宋体" w:hAnsi="宋体"/>
                <w:sz w:val="20"/>
                <w:szCs w:val="20"/>
              </w:rPr>
            </w:pPr>
            <w:r>
              <w:rPr>
                <w:rFonts w:hint="eastAsia" w:ascii="宋体" w:hAnsi="宋体"/>
                <w:sz w:val="20"/>
                <w:szCs w:val="20"/>
              </w:rPr>
              <w:t>14.挥发性有机化合物（</w:t>
            </w:r>
            <w:r>
              <w:rPr>
                <w:rFonts w:ascii="宋体" w:hAnsi="宋体"/>
                <w:sz w:val="20"/>
                <w:szCs w:val="20"/>
              </w:rPr>
              <w:t>g/l）</w:t>
            </w:r>
            <w:r>
              <w:rPr>
                <w:rFonts w:hint="eastAsia" w:ascii="宋体" w:hAnsi="宋体"/>
                <w:sz w:val="20"/>
                <w:szCs w:val="20"/>
              </w:rPr>
              <w:t>≤</w:t>
            </w:r>
            <w:r>
              <w:rPr>
                <w:rFonts w:ascii="宋体" w:hAnsi="宋体"/>
                <w:sz w:val="20"/>
                <w:szCs w:val="20"/>
              </w:rPr>
              <w:t>200</w:t>
            </w:r>
          </w:p>
          <w:p>
            <w:pPr>
              <w:spacing w:line="300" w:lineRule="exact"/>
              <w:rPr>
                <w:rFonts w:ascii="宋体" w:hAnsi="宋体"/>
                <w:sz w:val="20"/>
                <w:szCs w:val="20"/>
              </w:rPr>
            </w:pPr>
            <w:r>
              <w:rPr>
                <w:rFonts w:hint="eastAsia" w:ascii="宋体" w:hAnsi="宋体"/>
                <w:sz w:val="20"/>
                <w:szCs w:val="20"/>
              </w:rPr>
              <w:t>15.可溶性铅（P</w:t>
            </w:r>
            <w:r>
              <w:rPr>
                <w:rFonts w:ascii="宋体" w:hAnsi="宋体"/>
                <w:sz w:val="20"/>
                <w:szCs w:val="20"/>
              </w:rPr>
              <w:t>d）(mg/kg)</w:t>
            </w:r>
            <w:r>
              <w:rPr>
                <w:rFonts w:hint="eastAsia" w:ascii="宋体" w:hAnsi="宋体"/>
                <w:sz w:val="20"/>
                <w:szCs w:val="20"/>
              </w:rPr>
              <w:t xml:space="preserve"> ≤</w:t>
            </w:r>
            <w:r>
              <w:rPr>
                <w:rFonts w:ascii="宋体" w:hAnsi="宋体"/>
                <w:sz w:val="20"/>
                <w:szCs w:val="20"/>
              </w:rPr>
              <w:t>90</w:t>
            </w:r>
          </w:p>
          <w:p>
            <w:pPr>
              <w:spacing w:line="300" w:lineRule="exact"/>
              <w:rPr>
                <w:rFonts w:ascii="宋体" w:hAnsi="宋体"/>
                <w:sz w:val="20"/>
                <w:szCs w:val="20"/>
              </w:rPr>
            </w:pPr>
            <w:r>
              <w:rPr>
                <w:rFonts w:hint="eastAsia" w:ascii="宋体" w:hAnsi="宋体"/>
                <w:sz w:val="20"/>
                <w:szCs w:val="20"/>
              </w:rPr>
              <w:t>16.可溶性镉（</w:t>
            </w:r>
            <w:r>
              <w:rPr>
                <w:rFonts w:ascii="宋体" w:hAnsi="宋体"/>
                <w:sz w:val="20"/>
                <w:szCs w:val="20"/>
              </w:rPr>
              <w:t>Cd） (mg/kg)</w:t>
            </w:r>
            <w:r>
              <w:rPr>
                <w:rFonts w:hint="eastAsia" w:ascii="宋体" w:hAnsi="宋体"/>
                <w:sz w:val="20"/>
                <w:szCs w:val="20"/>
              </w:rPr>
              <w:t xml:space="preserve"> ≤</w:t>
            </w:r>
            <w:r>
              <w:rPr>
                <w:rFonts w:ascii="宋体" w:hAnsi="宋体"/>
                <w:sz w:val="20"/>
                <w:szCs w:val="20"/>
              </w:rPr>
              <w:t>75</w:t>
            </w:r>
          </w:p>
          <w:p>
            <w:pPr>
              <w:spacing w:line="300" w:lineRule="exact"/>
              <w:rPr>
                <w:rFonts w:ascii="宋体" w:hAnsi="宋体"/>
                <w:sz w:val="20"/>
                <w:szCs w:val="20"/>
              </w:rPr>
            </w:pPr>
            <w:r>
              <w:rPr>
                <w:rFonts w:hint="eastAsia" w:ascii="宋体" w:hAnsi="宋体"/>
                <w:sz w:val="20"/>
                <w:szCs w:val="20"/>
              </w:rPr>
              <w:t>17.可溶性铬（</w:t>
            </w:r>
            <w:r>
              <w:rPr>
                <w:rFonts w:ascii="宋体" w:hAnsi="宋体"/>
                <w:sz w:val="20"/>
                <w:szCs w:val="20"/>
              </w:rPr>
              <w:t>Cr）(mg/kg)</w:t>
            </w:r>
            <w:r>
              <w:rPr>
                <w:rFonts w:hint="eastAsia" w:ascii="宋体" w:hAnsi="宋体"/>
                <w:sz w:val="20"/>
                <w:szCs w:val="20"/>
              </w:rPr>
              <w:t xml:space="preserve"> ≤</w:t>
            </w:r>
            <w:r>
              <w:rPr>
                <w:rFonts w:ascii="宋体" w:hAnsi="宋体"/>
                <w:sz w:val="20"/>
                <w:szCs w:val="20"/>
              </w:rPr>
              <w:t>60</w:t>
            </w:r>
          </w:p>
          <w:p>
            <w:pPr>
              <w:spacing w:line="300" w:lineRule="exact"/>
              <w:rPr>
                <w:rFonts w:ascii="宋体" w:hAnsi="宋体"/>
                <w:sz w:val="20"/>
                <w:szCs w:val="20"/>
              </w:rPr>
            </w:pPr>
            <w:r>
              <w:rPr>
                <w:rFonts w:hint="eastAsia" w:ascii="宋体" w:hAnsi="宋体"/>
                <w:sz w:val="20"/>
                <w:szCs w:val="20"/>
              </w:rPr>
              <w:t>18.可溶性汞（H</w:t>
            </w:r>
            <w:r>
              <w:rPr>
                <w:rFonts w:ascii="宋体" w:hAnsi="宋体"/>
                <w:sz w:val="20"/>
                <w:szCs w:val="20"/>
              </w:rPr>
              <w:t>g）(mg/kg)</w:t>
            </w:r>
            <w:r>
              <w:rPr>
                <w:rFonts w:hint="eastAsia" w:ascii="宋体" w:hAnsi="宋体"/>
                <w:sz w:val="20"/>
                <w:szCs w:val="20"/>
              </w:rPr>
              <w:t xml:space="preserve"> ≤</w:t>
            </w:r>
            <w:r>
              <w:rPr>
                <w:rFonts w:ascii="宋体" w:hAnsi="宋体"/>
                <w:sz w:val="20"/>
                <w:szCs w:val="20"/>
              </w:rPr>
              <w:t>60</w:t>
            </w:r>
          </w:p>
        </w:tc>
        <w:tc>
          <w:tcPr>
            <w:tcW w:w="1332" w:type="dxa"/>
            <w:vAlign w:val="center"/>
          </w:tcPr>
          <w:p>
            <w:pPr>
              <w:spacing w:line="320" w:lineRule="exact"/>
              <w:ind w:right="-91"/>
              <w:rPr>
                <w:rFonts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924" w:hRule="atLeast"/>
        </w:trPr>
        <w:tc>
          <w:tcPr>
            <w:tcW w:w="472" w:type="dxa"/>
            <w:vAlign w:val="center"/>
          </w:tcPr>
          <w:p>
            <w:pPr>
              <w:jc w:val="center"/>
              <w:rPr>
                <w:rFonts w:ascii="宋体" w:hAnsi="宋体"/>
                <w:sz w:val="20"/>
                <w:szCs w:val="20"/>
              </w:rPr>
            </w:pPr>
            <w:r>
              <w:rPr>
                <w:rFonts w:hint="eastAsia" w:ascii="宋体" w:hAnsi="宋体"/>
                <w:sz w:val="20"/>
                <w:szCs w:val="20"/>
              </w:rPr>
              <w:t>21</w:t>
            </w:r>
          </w:p>
        </w:tc>
        <w:tc>
          <w:tcPr>
            <w:tcW w:w="1256" w:type="dxa"/>
            <w:vAlign w:val="center"/>
          </w:tcPr>
          <w:p>
            <w:pPr>
              <w:ind w:right="-33"/>
              <w:jc w:val="left"/>
              <w:rPr>
                <w:rFonts w:ascii="宋体" w:hAnsi="宋体"/>
                <w:sz w:val="20"/>
                <w:szCs w:val="20"/>
              </w:rPr>
            </w:pPr>
            <w:r>
              <w:rPr>
                <w:rFonts w:hint="eastAsia" w:ascii="宋体" w:hAnsi="宋体"/>
                <w:sz w:val="20"/>
                <w:szCs w:val="20"/>
              </w:rPr>
              <w:t>防霉涂料</w:t>
            </w:r>
          </w:p>
        </w:tc>
        <w:tc>
          <w:tcPr>
            <w:tcW w:w="1080" w:type="dxa"/>
            <w:tcBorders>
              <w:right w:val="single" w:color="auto" w:sz="4" w:space="0"/>
            </w:tcBorders>
            <w:vAlign w:val="center"/>
          </w:tcPr>
          <w:p>
            <w:pPr>
              <w:ind w:right="-33"/>
              <w:jc w:val="left"/>
              <w:rPr>
                <w:rFonts w:ascii="宋体" w:hAnsi="宋体"/>
                <w:sz w:val="20"/>
                <w:szCs w:val="20"/>
              </w:rPr>
            </w:pPr>
            <w:r>
              <w:rPr>
                <w:rFonts w:hint="eastAsia" w:ascii="宋体" w:hAnsi="宋体"/>
                <w:sz w:val="20"/>
                <w:szCs w:val="20"/>
              </w:rPr>
              <w:t>地下室墙面、天花</w:t>
            </w:r>
          </w:p>
        </w:tc>
        <w:tc>
          <w:tcPr>
            <w:tcW w:w="5220" w:type="dxa"/>
            <w:tcBorders>
              <w:left w:val="single" w:color="auto" w:sz="4" w:space="0"/>
            </w:tcBorders>
          </w:tcPr>
          <w:p>
            <w:pPr>
              <w:spacing w:line="300" w:lineRule="exact"/>
              <w:ind w:right="-33"/>
              <w:rPr>
                <w:rFonts w:ascii="宋体" w:hAnsi="宋体"/>
                <w:sz w:val="20"/>
                <w:szCs w:val="20"/>
              </w:rPr>
            </w:pPr>
            <w:r>
              <w:rPr>
                <w:rFonts w:ascii="宋体" w:hAnsi="宋体"/>
                <w:sz w:val="20"/>
                <w:szCs w:val="20"/>
              </w:rPr>
              <w:t>本涂料有光泽、硬度高、耐洗刷、对黑曲霉、黄曲霉、杂色曲霉等霉菌具有良好的抗耐性。其主要性能指标如下：</w:t>
            </w:r>
          </w:p>
          <w:p>
            <w:pPr>
              <w:spacing w:line="300" w:lineRule="exact"/>
              <w:ind w:right="-33"/>
              <w:rPr>
                <w:rFonts w:ascii="宋体" w:hAnsi="宋体"/>
                <w:sz w:val="20"/>
                <w:szCs w:val="20"/>
              </w:rPr>
            </w:pPr>
            <w:r>
              <w:rPr>
                <w:rFonts w:ascii="宋体" w:hAnsi="宋体"/>
                <w:sz w:val="20"/>
                <w:szCs w:val="20"/>
              </w:rPr>
              <w:t>1、防霉性：混合菌种4个月为零级。</w:t>
            </w:r>
          </w:p>
          <w:p>
            <w:pPr>
              <w:spacing w:line="300" w:lineRule="exact"/>
              <w:ind w:right="-33"/>
              <w:rPr>
                <w:rFonts w:ascii="宋体" w:hAnsi="宋体"/>
                <w:sz w:val="20"/>
                <w:szCs w:val="20"/>
              </w:rPr>
            </w:pPr>
            <w:r>
              <w:rPr>
                <w:rFonts w:ascii="宋体" w:hAnsi="宋体"/>
                <w:sz w:val="20"/>
                <w:szCs w:val="20"/>
              </w:rPr>
              <w:t>2、附着力：贴胶布法，100%不脱落</w:t>
            </w:r>
          </w:p>
          <w:p>
            <w:pPr>
              <w:spacing w:line="300" w:lineRule="exact"/>
              <w:ind w:right="-33"/>
              <w:rPr>
                <w:rFonts w:ascii="宋体" w:hAnsi="宋体"/>
                <w:sz w:val="20"/>
                <w:szCs w:val="20"/>
              </w:rPr>
            </w:pPr>
            <w:r>
              <w:rPr>
                <w:rFonts w:ascii="宋体" w:hAnsi="宋体"/>
                <w:sz w:val="20"/>
                <w:szCs w:val="20"/>
              </w:rPr>
              <w:t>3、遮盖力：300～350克/m2</w:t>
            </w:r>
          </w:p>
          <w:p>
            <w:pPr>
              <w:spacing w:line="300" w:lineRule="exact"/>
              <w:ind w:right="-33"/>
              <w:rPr>
                <w:rFonts w:ascii="宋体" w:hAnsi="宋体"/>
                <w:sz w:val="20"/>
                <w:szCs w:val="20"/>
              </w:rPr>
            </w:pPr>
            <w:r>
              <w:rPr>
                <w:rFonts w:ascii="宋体" w:hAnsi="宋体"/>
                <w:sz w:val="20"/>
                <w:szCs w:val="20"/>
              </w:rPr>
              <w:t>4、干燥时间：</w:t>
            </w:r>
          </w:p>
          <w:p>
            <w:pPr>
              <w:spacing w:line="300" w:lineRule="exact"/>
              <w:ind w:right="-33"/>
              <w:rPr>
                <w:rFonts w:ascii="宋体" w:hAnsi="宋体"/>
                <w:sz w:val="20"/>
                <w:szCs w:val="20"/>
              </w:rPr>
            </w:pPr>
            <w:r>
              <w:rPr>
                <w:rFonts w:ascii="宋体" w:hAnsi="宋体"/>
                <w:sz w:val="20"/>
                <w:szCs w:val="20"/>
              </w:rPr>
              <w:t>底涂：表干4小时，实干24小时</w:t>
            </w:r>
          </w:p>
          <w:p>
            <w:pPr>
              <w:spacing w:line="300" w:lineRule="exact"/>
              <w:ind w:right="-33"/>
              <w:rPr>
                <w:rFonts w:ascii="宋体" w:hAnsi="宋体"/>
                <w:sz w:val="20"/>
                <w:szCs w:val="20"/>
              </w:rPr>
            </w:pPr>
            <w:r>
              <w:rPr>
                <w:rFonts w:ascii="宋体" w:hAnsi="宋体"/>
                <w:sz w:val="20"/>
                <w:szCs w:val="20"/>
              </w:rPr>
              <w:t>面涂：表干0.5小时，实干4小时</w:t>
            </w:r>
          </w:p>
          <w:p>
            <w:pPr>
              <w:spacing w:line="300" w:lineRule="exact"/>
              <w:ind w:right="-33"/>
              <w:rPr>
                <w:rFonts w:ascii="宋体" w:hAnsi="宋体"/>
                <w:sz w:val="20"/>
                <w:szCs w:val="20"/>
              </w:rPr>
            </w:pPr>
            <w:r>
              <w:rPr>
                <w:rFonts w:ascii="宋体" w:hAnsi="宋体"/>
                <w:sz w:val="20"/>
                <w:szCs w:val="20"/>
              </w:rPr>
              <w:t>5、外观：平整、有光泽</w:t>
            </w:r>
          </w:p>
          <w:p>
            <w:pPr>
              <w:spacing w:line="300" w:lineRule="exact"/>
              <w:ind w:right="-33"/>
              <w:rPr>
                <w:rFonts w:ascii="宋体" w:hAnsi="宋体"/>
                <w:sz w:val="20"/>
                <w:szCs w:val="20"/>
              </w:rPr>
            </w:pPr>
            <w:r>
              <w:rPr>
                <w:rFonts w:ascii="宋体" w:hAnsi="宋体"/>
                <w:sz w:val="20"/>
                <w:szCs w:val="20"/>
              </w:rPr>
              <w:t>6、耐湿热：47±1</w:t>
            </w:r>
            <w:r>
              <w:rPr>
                <w:rFonts w:hint="eastAsia" w:ascii="宋体" w:hAnsi="宋体"/>
                <w:sz w:val="20"/>
                <w:szCs w:val="20"/>
              </w:rPr>
              <w:t>℃</w:t>
            </w:r>
            <w:r>
              <w:rPr>
                <w:rFonts w:ascii="宋体" w:hAnsi="宋体"/>
                <w:sz w:val="20"/>
                <w:szCs w:val="20"/>
              </w:rPr>
              <w:t>，PH.＞95%，涂膜7天无变化</w:t>
            </w:r>
          </w:p>
          <w:p>
            <w:pPr>
              <w:spacing w:line="300" w:lineRule="exact"/>
              <w:ind w:right="-33"/>
              <w:rPr>
                <w:rFonts w:ascii="宋体" w:hAnsi="宋体"/>
                <w:sz w:val="20"/>
                <w:szCs w:val="20"/>
              </w:rPr>
            </w:pPr>
            <w:r>
              <w:rPr>
                <w:rFonts w:ascii="宋体" w:hAnsi="宋体"/>
                <w:sz w:val="20"/>
                <w:szCs w:val="20"/>
              </w:rPr>
              <w:t>7、耐酸性：10%NaOH液中浸泡240小时涂膜无变化</w:t>
            </w:r>
          </w:p>
          <w:p>
            <w:pPr>
              <w:spacing w:line="300" w:lineRule="exact"/>
              <w:ind w:right="-33"/>
              <w:rPr>
                <w:rFonts w:ascii="宋体" w:hAnsi="宋体"/>
                <w:sz w:val="20"/>
                <w:szCs w:val="20"/>
              </w:rPr>
            </w:pPr>
            <w:r>
              <w:rPr>
                <w:rFonts w:ascii="宋体" w:hAnsi="宋体"/>
                <w:sz w:val="20"/>
                <w:szCs w:val="20"/>
              </w:rPr>
              <w:t>8、耐酸性：1%H2SO4 液中浸泡3天涂膜无变化</w:t>
            </w:r>
          </w:p>
          <w:p>
            <w:pPr>
              <w:spacing w:line="300" w:lineRule="exact"/>
              <w:ind w:right="-33"/>
              <w:rPr>
                <w:rFonts w:ascii="宋体" w:hAnsi="宋体"/>
                <w:sz w:val="20"/>
                <w:szCs w:val="20"/>
              </w:rPr>
            </w:pPr>
            <w:r>
              <w:rPr>
                <w:rFonts w:ascii="宋体" w:hAnsi="宋体"/>
                <w:sz w:val="20"/>
                <w:szCs w:val="20"/>
              </w:rPr>
              <w:t>9、硬度：钢笔，4-5H</w:t>
            </w:r>
          </w:p>
          <w:p>
            <w:pPr>
              <w:spacing w:line="300" w:lineRule="exact"/>
              <w:ind w:right="-33"/>
              <w:rPr>
                <w:rFonts w:ascii="宋体" w:hAnsi="宋体"/>
                <w:sz w:val="20"/>
                <w:szCs w:val="20"/>
              </w:rPr>
            </w:pPr>
            <w:r>
              <w:rPr>
                <w:rFonts w:ascii="宋体" w:hAnsi="宋体"/>
                <w:sz w:val="20"/>
                <w:szCs w:val="20"/>
              </w:rPr>
              <w:t>10、耐洗刷性：湿布上压200克砝码，湿擦大于一千次</w:t>
            </w: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924" w:hRule="atLeast"/>
        </w:trPr>
        <w:tc>
          <w:tcPr>
            <w:tcW w:w="472" w:type="dxa"/>
            <w:vAlign w:val="center"/>
          </w:tcPr>
          <w:p>
            <w:pPr>
              <w:jc w:val="center"/>
              <w:rPr>
                <w:rFonts w:ascii="宋体" w:hAnsi="宋体"/>
                <w:sz w:val="20"/>
                <w:szCs w:val="20"/>
              </w:rPr>
            </w:pPr>
            <w:r>
              <w:rPr>
                <w:rFonts w:hint="eastAsia" w:ascii="宋体" w:hAnsi="宋体"/>
                <w:sz w:val="20"/>
                <w:szCs w:val="20"/>
              </w:rPr>
              <w:t>14</w:t>
            </w:r>
          </w:p>
        </w:tc>
        <w:tc>
          <w:tcPr>
            <w:tcW w:w="1256" w:type="dxa"/>
            <w:vAlign w:val="center"/>
          </w:tcPr>
          <w:p>
            <w:pPr>
              <w:jc w:val="left"/>
              <w:rPr>
                <w:sz w:val="20"/>
                <w:szCs w:val="20"/>
              </w:rPr>
            </w:pPr>
            <w:r>
              <w:rPr>
                <w:rFonts w:ascii="宋体" w:hAnsi="宋体" w:cs="宋体"/>
                <w:kern w:val="0"/>
                <w:sz w:val="20"/>
                <w:szCs w:val="20"/>
              </w:rPr>
              <w:t>水泥基</w:t>
            </w:r>
            <w:r>
              <w:rPr>
                <w:rFonts w:hint="eastAsia"/>
                <w:sz w:val="20"/>
                <w:szCs w:val="20"/>
              </w:rPr>
              <w:t>自流平</w:t>
            </w:r>
          </w:p>
        </w:tc>
        <w:tc>
          <w:tcPr>
            <w:tcW w:w="1080" w:type="dxa"/>
            <w:vAlign w:val="center"/>
          </w:tcPr>
          <w:p>
            <w:pPr>
              <w:jc w:val="left"/>
              <w:rPr>
                <w:rFonts w:ascii="宋体" w:hAnsi="宋体"/>
                <w:b/>
                <w:sz w:val="20"/>
                <w:szCs w:val="20"/>
              </w:rPr>
            </w:pPr>
            <w:r>
              <w:rPr>
                <w:rFonts w:hint="eastAsia"/>
                <w:sz w:val="20"/>
                <w:szCs w:val="20"/>
              </w:rPr>
              <w:t>楼地面</w:t>
            </w:r>
          </w:p>
        </w:tc>
        <w:tc>
          <w:tcPr>
            <w:tcW w:w="5220" w:type="dxa"/>
            <w:vAlign w:val="center"/>
          </w:tcPr>
          <w:p>
            <w:pPr>
              <w:spacing w:line="240" w:lineRule="atLeast"/>
              <w:rPr>
                <w:rFonts w:ascii="宋体" w:hAnsi="宋体"/>
                <w:sz w:val="20"/>
                <w:szCs w:val="20"/>
              </w:rPr>
            </w:pPr>
            <w:r>
              <w:rPr>
                <w:rFonts w:hint="eastAsia" w:ascii="宋体" w:hAnsi="宋体"/>
                <w:sz w:val="20"/>
                <w:szCs w:val="20"/>
              </w:rPr>
              <w:t>符合国家有关标准、规范、规程及设计要求，并满足下列要求：</w:t>
            </w:r>
          </w:p>
          <w:p>
            <w:pPr>
              <w:widowControl/>
              <w:shd w:val="clear" w:color="auto" w:fill="FFFFFF"/>
              <w:spacing w:line="320" w:lineRule="exact"/>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外观</w:t>
            </w:r>
            <w:r>
              <w:rPr>
                <w:rFonts w:hint="eastAsia" w:ascii="宋体" w:hAnsi="宋体" w:cs="宋体"/>
                <w:kern w:val="0"/>
                <w:sz w:val="20"/>
                <w:szCs w:val="20"/>
              </w:rPr>
              <w:t>：</w:t>
            </w:r>
          </w:p>
          <w:p>
            <w:pPr>
              <w:widowControl/>
              <w:shd w:val="clear" w:color="auto" w:fill="FFFFFF"/>
              <w:spacing w:line="320" w:lineRule="exact"/>
              <w:jc w:val="left"/>
              <w:rPr>
                <w:rFonts w:ascii="宋体" w:hAnsi="宋体" w:cs="宋体"/>
                <w:kern w:val="0"/>
                <w:sz w:val="20"/>
                <w:szCs w:val="20"/>
              </w:rPr>
            </w:pPr>
            <w:r>
              <w:rPr>
                <w:rFonts w:ascii="宋体" w:hAnsi="宋体" w:cs="宋体"/>
                <w:kern w:val="0"/>
                <w:sz w:val="20"/>
                <w:szCs w:val="20"/>
              </w:rPr>
              <w:t>单组分产品外观应均匀、无结块；双组分产品液料组分经搅拌后应呈均匀状态；粉料组分应均匀、无结块。</w:t>
            </w:r>
          </w:p>
          <w:p>
            <w:pPr>
              <w:widowControl/>
              <w:shd w:val="clear" w:color="auto" w:fill="FFFFFF"/>
              <w:spacing w:line="320" w:lineRule="exact"/>
              <w:jc w:val="left"/>
              <w:rPr>
                <w:rFonts w:ascii="宋体" w:hAnsi="宋体" w:cs="宋体"/>
                <w:kern w:val="0"/>
                <w:sz w:val="20"/>
                <w:szCs w:val="20"/>
              </w:rPr>
            </w:pPr>
            <w:r>
              <w:rPr>
                <w:rFonts w:hint="eastAsia" w:ascii="宋体" w:hAnsi="宋体" w:cs="宋体"/>
                <w:kern w:val="0"/>
                <w:sz w:val="20"/>
                <w:szCs w:val="20"/>
              </w:rPr>
              <w:t>2.</w:t>
            </w:r>
            <w:r>
              <w:rPr>
                <w:rFonts w:ascii="宋体" w:hAnsi="宋体" w:cs="宋体"/>
                <w:kern w:val="0"/>
                <w:sz w:val="20"/>
                <w:szCs w:val="20"/>
              </w:rPr>
              <w:t>物理力学性能</w:t>
            </w:r>
            <w:r>
              <w:rPr>
                <w:rFonts w:hint="eastAsia" w:ascii="宋体" w:hAnsi="宋体" w:cs="宋体"/>
                <w:kern w:val="0"/>
                <w:sz w:val="20"/>
                <w:szCs w:val="20"/>
              </w:rPr>
              <w:t>：</w:t>
            </w:r>
          </w:p>
          <w:p>
            <w:pPr>
              <w:spacing w:line="320" w:lineRule="exact"/>
              <w:rPr>
                <w:rFonts w:ascii="宋体" w:hAnsi="宋体" w:cs="宋体"/>
                <w:kern w:val="0"/>
                <w:sz w:val="20"/>
                <w:szCs w:val="20"/>
              </w:rPr>
            </w:pPr>
            <w:r>
              <w:rPr>
                <w:rFonts w:ascii="Verdana" w:hAnsi="Verdana" w:cs="宋体"/>
                <w:kern w:val="0"/>
                <w:sz w:val="20"/>
                <w:szCs w:val="20"/>
              </w:rPr>
              <w:t>流动度/mm</w:t>
            </w:r>
            <w:r>
              <w:rPr>
                <w:rFonts w:hint="eastAsia" w:ascii="Verdana" w:hAnsi="Verdana" w:cs="宋体"/>
                <w:kern w:val="0"/>
                <w:sz w:val="20"/>
                <w:szCs w:val="20"/>
              </w:rPr>
              <w:t>：</w:t>
            </w:r>
            <w:r>
              <w:rPr>
                <w:rFonts w:ascii="Verdana" w:hAnsi="Verdana" w:cs="宋体"/>
                <w:kern w:val="0"/>
                <w:sz w:val="20"/>
                <w:szCs w:val="20"/>
              </w:rPr>
              <w:t>初始流动度≥</w:t>
            </w:r>
            <w:r>
              <w:rPr>
                <w:rFonts w:hint="eastAsia" w:ascii="宋体" w:hAnsi="宋体" w:cs="宋体"/>
                <w:kern w:val="0"/>
                <w:sz w:val="20"/>
                <w:szCs w:val="20"/>
              </w:rPr>
              <w:t>130</w:t>
            </w:r>
            <w:r>
              <w:rPr>
                <w:rFonts w:hint="eastAsia" w:ascii="Verdana" w:hAnsi="Verdana" w:cs="宋体"/>
                <w:kern w:val="0"/>
                <w:sz w:val="20"/>
                <w:szCs w:val="20"/>
              </w:rPr>
              <w:t>；</w:t>
            </w:r>
            <w:r>
              <w:rPr>
                <w:rFonts w:ascii="宋体" w:hAnsi="宋体" w:cs="宋体"/>
                <w:kern w:val="0"/>
                <w:sz w:val="20"/>
                <w:szCs w:val="20"/>
              </w:rPr>
              <w:t>20min流动度</w:t>
            </w:r>
            <w:r>
              <w:rPr>
                <w:rFonts w:ascii="宋体" w:hAnsi="宋体" w:cs="宋体"/>
                <w:kern w:val="0"/>
                <w:sz w:val="20"/>
                <w:szCs w:val="20"/>
                <w:vertAlign w:val="superscript"/>
              </w:rPr>
              <w:t>a</w:t>
            </w:r>
            <w:r>
              <w:rPr>
                <w:rFonts w:ascii="宋体" w:hAnsi="宋体" w:cs="宋体"/>
                <w:kern w:val="0"/>
                <w:sz w:val="20"/>
                <w:szCs w:val="20"/>
              </w:rPr>
              <w:t>≥</w:t>
            </w:r>
            <w:r>
              <w:rPr>
                <w:rFonts w:hint="eastAsia" w:ascii="宋体" w:hAnsi="宋体" w:cs="宋体"/>
                <w:kern w:val="0"/>
                <w:sz w:val="20"/>
                <w:szCs w:val="20"/>
              </w:rPr>
              <w:t>130</w:t>
            </w:r>
          </w:p>
          <w:p>
            <w:pPr>
              <w:spacing w:line="320" w:lineRule="exact"/>
              <w:rPr>
                <w:rFonts w:ascii="Verdana" w:hAnsi="Verdana" w:cs="宋体"/>
                <w:kern w:val="0"/>
                <w:sz w:val="20"/>
                <w:szCs w:val="20"/>
              </w:rPr>
            </w:pPr>
            <w:r>
              <w:rPr>
                <w:rFonts w:ascii="Verdana" w:hAnsi="Verdana" w:cs="宋体"/>
                <w:kern w:val="0"/>
                <w:sz w:val="20"/>
                <w:szCs w:val="20"/>
              </w:rPr>
              <w:t>拉伸粘结强度/MPa≥</w:t>
            </w:r>
            <w:r>
              <w:rPr>
                <w:rFonts w:hint="eastAsia" w:ascii="宋体" w:hAnsi="宋体" w:cs="宋体"/>
                <w:kern w:val="0"/>
                <w:sz w:val="20"/>
                <w:szCs w:val="20"/>
              </w:rPr>
              <w:t>1.0</w:t>
            </w:r>
          </w:p>
          <w:p>
            <w:pPr>
              <w:spacing w:line="320" w:lineRule="exact"/>
              <w:rPr>
                <w:rFonts w:ascii="宋体" w:hAnsi="宋体" w:cs="宋体"/>
                <w:kern w:val="0"/>
                <w:sz w:val="20"/>
                <w:szCs w:val="20"/>
              </w:rPr>
            </w:pPr>
            <w:r>
              <w:rPr>
                <w:rFonts w:ascii="Verdana" w:hAnsi="Verdana" w:cs="宋体"/>
                <w:kern w:val="0"/>
                <w:sz w:val="20"/>
                <w:szCs w:val="20"/>
              </w:rPr>
              <w:t>耐磨性</w:t>
            </w:r>
            <w:r>
              <w:rPr>
                <w:rFonts w:ascii="Verdana" w:hAnsi="Verdana" w:cs="宋体"/>
                <w:kern w:val="0"/>
                <w:sz w:val="20"/>
                <w:szCs w:val="20"/>
                <w:vertAlign w:val="superscript"/>
              </w:rPr>
              <w:t>b</w:t>
            </w:r>
            <w:r>
              <w:rPr>
                <w:rFonts w:ascii="Verdana" w:hAnsi="Verdana" w:cs="宋体"/>
                <w:kern w:val="0"/>
                <w:sz w:val="20"/>
                <w:szCs w:val="20"/>
              </w:rPr>
              <w:t>/g≤</w:t>
            </w:r>
            <w:r>
              <w:rPr>
                <w:rFonts w:ascii="宋体" w:hAnsi="宋体" w:cs="宋体"/>
                <w:kern w:val="0"/>
                <w:sz w:val="20"/>
                <w:szCs w:val="20"/>
              </w:rPr>
              <w:t>0.50</w:t>
            </w:r>
          </w:p>
          <w:p>
            <w:pPr>
              <w:spacing w:line="320" w:lineRule="exact"/>
              <w:rPr>
                <w:rFonts w:ascii="宋体" w:hAnsi="宋体" w:cs="宋体"/>
                <w:kern w:val="0"/>
                <w:sz w:val="20"/>
                <w:szCs w:val="20"/>
              </w:rPr>
            </w:pPr>
            <w:r>
              <w:rPr>
                <w:rFonts w:ascii="宋体" w:hAnsi="宋体" w:cs="宋体"/>
                <w:kern w:val="0"/>
                <w:sz w:val="20"/>
                <w:szCs w:val="20"/>
              </w:rPr>
              <w:t>尺寸变化率/%　－0.15～＋0.15</w:t>
            </w:r>
          </w:p>
          <w:p>
            <w:pPr>
              <w:spacing w:line="320" w:lineRule="exact"/>
              <w:rPr>
                <w:rFonts w:ascii="Verdana" w:hAnsi="Verdana" w:cs="宋体"/>
                <w:kern w:val="0"/>
                <w:sz w:val="20"/>
                <w:szCs w:val="20"/>
              </w:rPr>
            </w:pPr>
            <w:r>
              <w:rPr>
                <w:rFonts w:ascii="Verdana" w:hAnsi="Verdana" w:cs="宋体"/>
                <w:kern w:val="0"/>
                <w:sz w:val="20"/>
                <w:szCs w:val="20"/>
              </w:rPr>
              <w:t>抗冲击性无开裂或脱离底板</w:t>
            </w:r>
          </w:p>
          <w:p>
            <w:pPr>
              <w:spacing w:line="320" w:lineRule="exact"/>
              <w:rPr>
                <w:rFonts w:ascii="宋体" w:hAnsi="宋体" w:cs="宋体"/>
                <w:kern w:val="0"/>
                <w:sz w:val="20"/>
                <w:szCs w:val="20"/>
              </w:rPr>
            </w:pPr>
            <w:r>
              <w:rPr>
                <w:rFonts w:ascii="宋体" w:hAnsi="宋体" w:cs="宋体"/>
                <w:kern w:val="0"/>
                <w:sz w:val="20"/>
                <w:szCs w:val="20"/>
              </w:rPr>
              <w:t>24h抗压强度/MPa≥6.0</w:t>
            </w:r>
          </w:p>
          <w:p>
            <w:pPr>
              <w:spacing w:line="320" w:lineRule="exact"/>
              <w:rPr>
                <w:rFonts w:ascii="宋体" w:hAnsi="宋体" w:cs="宋体"/>
                <w:kern w:val="0"/>
                <w:sz w:val="20"/>
                <w:szCs w:val="20"/>
              </w:rPr>
            </w:pPr>
            <w:r>
              <w:rPr>
                <w:rFonts w:ascii="宋体" w:hAnsi="宋体" w:cs="宋体"/>
                <w:kern w:val="0"/>
                <w:sz w:val="20"/>
                <w:szCs w:val="20"/>
              </w:rPr>
              <w:t>24h抗折强度/MPa≥2.0</w:t>
            </w:r>
          </w:p>
          <w:p>
            <w:pPr>
              <w:spacing w:line="320" w:lineRule="exact"/>
              <w:rPr>
                <w:rFonts w:ascii="宋体" w:hAnsi="宋体" w:cs="宋体"/>
                <w:kern w:val="0"/>
                <w:sz w:val="20"/>
                <w:szCs w:val="20"/>
              </w:rPr>
            </w:pPr>
            <w:r>
              <w:rPr>
                <w:rFonts w:hint="eastAsia" w:ascii="宋体" w:hAnsi="宋体"/>
                <w:sz w:val="20"/>
                <w:szCs w:val="20"/>
              </w:rPr>
              <w:t>其它按照实物样板标准执行。</w:t>
            </w: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924" w:hRule="atLeast"/>
        </w:trPr>
        <w:tc>
          <w:tcPr>
            <w:tcW w:w="472" w:type="dxa"/>
            <w:vAlign w:val="center"/>
          </w:tcPr>
          <w:p>
            <w:pPr>
              <w:rPr>
                <w:rFonts w:ascii="宋体" w:hAnsi="宋体"/>
                <w:sz w:val="20"/>
                <w:szCs w:val="20"/>
              </w:rPr>
            </w:pPr>
            <w:r>
              <w:rPr>
                <w:rFonts w:hint="eastAsia" w:ascii="宋体" w:hAnsi="宋体"/>
                <w:sz w:val="20"/>
                <w:szCs w:val="20"/>
              </w:rPr>
              <w:t>23</w:t>
            </w:r>
          </w:p>
        </w:tc>
        <w:tc>
          <w:tcPr>
            <w:tcW w:w="1256" w:type="dxa"/>
            <w:vAlign w:val="center"/>
          </w:tcPr>
          <w:p>
            <w:pPr>
              <w:jc w:val="left"/>
              <w:rPr>
                <w:rFonts w:ascii="宋体" w:hAnsi="宋体"/>
                <w:sz w:val="20"/>
                <w:szCs w:val="20"/>
              </w:rPr>
            </w:pPr>
            <w:r>
              <w:rPr>
                <w:rFonts w:hint="eastAsia" w:ascii="宋体" w:hAnsi="宋体"/>
                <w:sz w:val="20"/>
                <w:szCs w:val="20"/>
              </w:rPr>
              <w:t>铝扣板</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天花</w:t>
            </w:r>
          </w:p>
        </w:tc>
        <w:tc>
          <w:tcPr>
            <w:tcW w:w="5220" w:type="dxa"/>
            <w:tcBorders>
              <w:left w:val="single" w:color="auto" w:sz="4" w:space="0"/>
            </w:tcBorders>
            <w:vAlign w:val="center"/>
          </w:tcPr>
          <w:p>
            <w:pPr>
              <w:spacing w:line="280" w:lineRule="exact"/>
              <w:ind w:right="-91"/>
              <w:jc w:val="left"/>
              <w:rPr>
                <w:sz w:val="20"/>
                <w:szCs w:val="20"/>
              </w:rPr>
            </w:pPr>
            <w:r>
              <w:rPr>
                <w:rFonts w:hint="eastAsia"/>
                <w:sz w:val="20"/>
                <w:szCs w:val="20"/>
              </w:rPr>
              <w:t>1.材质应符合《铝及铝合金轧制板材》（GB/T5237.1）中有关规定。铝合金表面处理层应符合《铝合金建筑型材》（GB/T5237.2~5237.5）的有关规定。</w:t>
            </w:r>
          </w:p>
          <w:p>
            <w:pPr>
              <w:spacing w:line="280" w:lineRule="exact"/>
              <w:jc w:val="left"/>
              <w:rPr>
                <w:rFonts w:ascii="宋体" w:hAnsi="宋体"/>
                <w:sz w:val="20"/>
                <w:szCs w:val="20"/>
              </w:rPr>
            </w:pPr>
            <w:r>
              <w:rPr>
                <w:rFonts w:hint="eastAsia" w:ascii="宋体" w:hAnsi="宋体"/>
                <w:sz w:val="20"/>
                <w:szCs w:val="20"/>
              </w:rPr>
              <w:t>2.板厚</w:t>
            </w:r>
            <w:r>
              <w:rPr>
                <w:sz w:val="20"/>
                <w:szCs w:val="20"/>
              </w:rPr>
              <w:t>＞</w:t>
            </w:r>
            <w:r>
              <w:rPr>
                <w:rFonts w:hint="eastAsia" w:ascii="宋体" w:hAnsi="宋体"/>
                <w:sz w:val="20"/>
                <w:szCs w:val="20"/>
              </w:rPr>
              <w:t>0.8mm.</w:t>
            </w:r>
          </w:p>
          <w:p>
            <w:pPr>
              <w:spacing w:line="280" w:lineRule="exact"/>
              <w:jc w:val="left"/>
              <w:rPr>
                <w:rFonts w:ascii="宋体" w:hAnsi="宋体"/>
                <w:sz w:val="20"/>
                <w:szCs w:val="20"/>
              </w:rPr>
            </w:pPr>
            <w:r>
              <w:rPr>
                <w:rFonts w:hint="eastAsia" w:ascii="宋体" w:hAnsi="宋体"/>
                <w:sz w:val="20"/>
                <w:szCs w:val="20"/>
              </w:rPr>
              <w:t>其它按照实物样板标准执行。</w:t>
            </w: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771" w:hRule="atLeast"/>
        </w:trPr>
        <w:tc>
          <w:tcPr>
            <w:tcW w:w="472" w:type="dxa"/>
            <w:vAlign w:val="center"/>
          </w:tcPr>
          <w:p>
            <w:pPr>
              <w:jc w:val="center"/>
              <w:rPr>
                <w:rFonts w:ascii="宋体" w:hAnsi="宋体"/>
                <w:sz w:val="20"/>
                <w:szCs w:val="20"/>
              </w:rPr>
            </w:pPr>
            <w:r>
              <w:rPr>
                <w:rFonts w:hint="eastAsia" w:ascii="宋体" w:hAnsi="宋体"/>
                <w:sz w:val="20"/>
                <w:szCs w:val="20"/>
              </w:rPr>
              <w:t>24</w:t>
            </w:r>
          </w:p>
        </w:tc>
        <w:tc>
          <w:tcPr>
            <w:tcW w:w="1256" w:type="dxa"/>
            <w:vAlign w:val="center"/>
          </w:tcPr>
          <w:p>
            <w:pPr>
              <w:jc w:val="left"/>
              <w:rPr>
                <w:sz w:val="20"/>
                <w:szCs w:val="20"/>
              </w:rPr>
            </w:pPr>
            <w:r>
              <w:rPr>
                <w:rFonts w:hint="eastAsia"/>
                <w:sz w:val="20"/>
                <w:szCs w:val="20"/>
              </w:rPr>
              <w:t>石膏板</w:t>
            </w:r>
          </w:p>
        </w:tc>
        <w:tc>
          <w:tcPr>
            <w:tcW w:w="1080" w:type="dxa"/>
            <w:tcBorders>
              <w:right w:val="single" w:color="auto" w:sz="4" w:space="0"/>
            </w:tcBorders>
            <w:vAlign w:val="center"/>
          </w:tcPr>
          <w:p>
            <w:pPr>
              <w:jc w:val="left"/>
              <w:rPr>
                <w:sz w:val="20"/>
                <w:szCs w:val="20"/>
              </w:rPr>
            </w:pPr>
            <w:r>
              <w:rPr>
                <w:rFonts w:hint="eastAsia"/>
                <w:sz w:val="20"/>
                <w:szCs w:val="20"/>
              </w:rPr>
              <w:t>天花</w:t>
            </w:r>
          </w:p>
        </w:tc>
        <w:tc>
          <w:tcPr>
            <w:tcW w:w="5220" w:type="dxa"/>
            <w:tcBorders>
              <w:left w:val="single" w:color="auto" w:sz="4" w:space="0"/>
            </w:tcBorders>
            <w:vAlign w:val="center"/>
          </w:tcPr>
          <w:p>
            <w:pPr>
              <w:spacing w:line="320" w:lineRule="exact"/>
              <w:rPr>
                <w:rFonts w:ascii="宋体" w:hAnsi="宋体"/>
                <w:sz w:val="20"/>
                <w:szCs w:val="20"/>
              </w:rPr>
            </w:pPr>
            <w:r>
              <w:rPr>
                <w:rFonts w:hint="eastAsia" w:ascii="宋体" w:hAnsi="宋体"/>
                <w:sz w:val="20"/>
                <w:szCs w:val="20"/>
              </w:rPr>
              <w:t>符合国家有关标准、规范、规定及设计要求，产品执行标准：JC/T443-2007,</w:t>
            </w:r>
            <w:r>
              <w:rPr>
                <w:rFonts w:hint="eastAsia"/>
                <w:sz w:val="20"/>
                <w:szCs w:val="20"/>
              </w:rPr>
              <w:t>并符合如下要求：</w:t>
            </w:r>
          </w:p>
          <w:p>
            <w:pPr>
              <w:spacing w:line="320" w:lineRule="exact"/>
              <w:rPr>
                <w:rFonts w:ascii="宋体" w:hAnsi="宋体"/>
                <w:sz w:val="20"/>
                <w:szCs w:val="20"/>
              </w:rPr>
            </w:pPr>
            <w:r>
              <w:rPr>
                <w:rFonts w:hint="eastAsia" w:ascii="宋体" w:hAnsi="宋体"/>
                <w:sz w:val="20"/>
                <w:szCs w:val="20"/>
              </w:rPr>
              <w:t>1.</w:t>
            </w:r>
            <w:r>
              <w:rPr>
                <w:rFonts w:hint="eastAsia"/>
                <w:sz w:val="20"/>
                <w:szCs w:val="20"/>
              </w:rPr>
              <w:t xml:space="preserve"> 产品质量为优等品，颜色为白色；</w:t>
            </w:r>
          </w:p>
          <w:p>
            <w:pPr>
              <w:tabs>
                <w:tab w:val="left" w:pos="855"/>
              </w:tabs>
              <w:spacing w:line="320" w:lineRule="exact"/>
              <w:rPr>
                <w:sz w:val="20"/>
                <w:szCs w:val="20"/>
              </w:rPr>
            </w:pPr>
            <w:r>
              <w:rPr>
                <w:rFonts w:hint="eastAsia" w:ascii="宋体" w:hAnsi="宋体"/>
                <w:sz w:val="20"/>
                <w:szCs w:val="20"/>
              </w:rPr>
              <w:t>2.所用材料的燃烧性应符合现行国家标准《建筑内部装修设计防火规范》（GB50222-95）、《建筑设计防火规范》（GBJ16-87）。</w:t>
            </w: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243" w:hRule="atLeast"/>
        </w:trPr>
        <w:tc>
          <w:tcPr>
            <w:tcW w:w="472" w:type="dxa"/>
            <w:vAlign w:val="center"/>
          </w:tcPr>
          <w:p>
            <w:pPr>
              <w:jc w:val="center"/>
              <w:rPr>
                <w:rFonts w:ascii="宋体" w:hAnsi="宋体"/>
                <w:sz w:val="20"/>
                <w:szCs w:val="20"/>
              </w:rPr>
            </w:pPr>
            <w:r>
              <w:rPr>
                <w:rFonts w:hint="eastAsia" w:ascii="宋体" w:hAnsi="宋体"/>
                <w:sz w:val="20"/>
                <w:szCs w:val="20"/>
              </w:rPr>
              <w:t>25</w:t>
            </w:r>
          </w:p>
        </w:tc>
        <w:tc>
          <w:tcPr>
            <w:tcW w:w="1256" w:type="dxa"/>
            <w:vAlign w:val="center"/>
          </w:tcPr>
          <w:p>
            <w:pPr>
              <w:jc w:val="left"/>
              <w:rPr>
                <w:sz w:val="20"/>
                <w:szCs w:val="20"/>
              </w:rPr>
            </w:pPr>
            <w:r>
              <w:rPr>
                <w:rFonts w:hint="eastAsia"/>
                <w:sz w:val="20"/>
                <w:szCs w:val="20"/>
              </w:rPr>
              <w:t>矿棉吸音板</w:t>
            </w:r>
          </w:p>
        </w:tc>
        <w:tc>
          <w:tcPr>
            <w:tcW w:w="1080" w:type="dxa"/>
            <w:tcBorders>
              <w:right w:val="single" w:color="auto" w:sz="4" w:space="0"/>
            </w:tcBorders>
            <w:vAlign w:val="center"/>
          </w:tcPr>
          <w:p>
            <w:pPr>
              <w:jc w:val="left"/>
              <w:rPr>
                <w:sz w:val="20"/>
                <w:szCs w:val="20"/>
              </w:rPr>
            </w:pPr>
            <w:r>
              <w:rPr>
                <w:rFonts w:hint="eastAsia"/>
                <w:sz w:val="20"/>
                <w:szCs w:val="20"/>
              </w:rPr>
              <w:t>天花</w:t>
            </w:r>
          </w:p>
        </w:tc>
        <w:tc>
          <w:tcPr>
            <w:tcW w:w="5220" w:type="dxa"/>
            <w:tcBorders>
              <w:left w:val="single" w:color="auto" w:sz="4" w:space="0"/>
            </w:tcBorders>
            <w:vAlign w:val="center"/>
          </w:tcPr>
          <w:p>
            <w:pPr>
              <w:spacing w:line="320" w:lineRule="exact"/>
              <w:rPr>
                <w:rFonts w:ascii="宋体" w:hAnsi="宋体"/>
                <w:sz w:val="20"/>
                <w:szCs w:val="20"/>
              </w:rPr>
            </w:pPr>
            <w:r>
              <w:rPr>
                <w:rFonts w:hint="eastAsia" w:ascii="宋体" w:hAnsi="宋体"/>
                <w:sz w:val="20"/>
                <w:szCs w:val="20"/>
              </w:rPr>
              <w:t>所用材料的燃烧性应符合现行国家标准《建筑内部装修设计防火规范》（GB50222-95）、《建筑设计防火规范》（GBJ16-87）。</w:t>
            </w:r>
          </w:p>
        </w:tc>
        <w:tc>
          <w:tcPr>
            <w:tcW w:w="1332" w:type="dxa"/>
            <w:vAlign w:val="center"/>
          </w:tcPr>
          <w:p>
            <w:pPr>
              <w:jc w:val="cente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605" w:hRule="atLeast"/>
        </w:trPr>
        <w:tc>
          <w:tcPr>
            <w:tcW w:w="472" w:type="dxa"/>
            <w:vAlign w:val="center"/>
          </w:tcPr>
          <w:p>
            <w:pPr>
              <w:rPr>
                <w:rFonts w:ascii="宋体" w:hAnsi="宋体"/>
                <w:sz w:val="20"/>
                <w:szCs w:val="20"/>
              </w:rPr>
            </w:pPr>
            <w:r>
              <w:rPr>
                <w:rFonts w:hint="eastAsia" w:ascii="宋体" w:hAnsi="宋体"/>
                <w:sz w:val="20"/>
                <w:szCs w:val="20"/>
              </w:rPr>
              <w:t>26</w:t>
            </w:r>
          </w:p>
        </w:tc>
        <w:tc>
          <w:tcPr>
            <w:tcW w:w="1256" w:type="dxa"/>
            <w:vAlign w:val="center"/>
          </w:tcPr>
          <w:p>
            <w:pPr>
              <w:jc w:val="left"/>
              <w:rPr>
                <w:rFonts w:ascii="宋体" w:hAnsi="宋体"/>
                <w:sz w:val="20"/>
                <w:szCs w:val="20"/>
              </w:rPr>
            </w:pPr>
            <w:r>
              <w:rPr>
                <w:rFonts w:hint="eastAsia"/>
                <w:sz w:val="20"/>
                <w:szCs w:val="20"/>
              </w:rPr>
              <w:t>铝格栅</w:t>
            </w:r>
          </w:p>
        </w:tc>
        <w:tc>
          <w:tcPr>
            <w:tcW w:w="1080" w:type="dxa"/>
            <w:tcBorders>
              <w:right w:val="single" w:color="auto" w:sz="4" w:space="0"/>
            </w:tcBorders>
            <w:vAlign w:val="center"/>
          </w:tcPr>
          <w:p>
            <w:pPr>
              <w:spacing w:line="280" w:lineRule="exact"/>
              <w:ind w:right="-91"/>
              <w:jc w:val="left"/>
              <w:rPr>
                <w:sz w:val="20"/>
                <w:szCs w:val="20"/>
              </w:rPr>
            </w:pPr>
            <w:r>
              <w:rPr>
                <w:rFonts w:hint="eastAsia"/>
                <w:sz w:val="20"/>
                <w:szCs w:val="20"/>
              </w:rPr>
              <w:t>天花</w:t>
            </w:r>
          </w:p>
        </w:tc>
        <w:tc>
          <w:tcPr>
            <w:tcW w:w="5220" w:type="dxa"/>
            <w:tcBorders>
              <w:left w:val="single" w:color="auto" w:sz="4" w:space="0"/>
            </w:tcBorders>
            <w:vAlign w:val="center"/>
          </w:tcPr>
          <w:p>
            <w:pPr>
              <w:spacing w:line="280" w:lineRule="exact"/>
              <w:ind w:right="-91"/>
              <w:jc w:val="left"/>
              <w:rPr>
                <w:sz w:val="20"/>
                <w:szCs w:val="20"/>
              </w:rPr>
            </w:pPr>
            <w:r>
              <w:rPr>
                <w:rFonts w:hint="eastAsia"/>
                <w:sz w:val="20"/>
                <w:szCs w:val="20"/>
              </w:rPr>
              <w:t>应</w:t>
            </w:r>
            <w:r>
              <w:rPr>
                <w:rFonts w:hint="eastAsia" w:ascii="宋体" w:hAnsi="宋体"/>
                <w:sz w:val="20"/>
                <w:szCs w:val="20"/>
              </w:rPr>
              <w:t>符合国家标准的相关规定及设计要求</w:t>
            </w:r>
            <w:r>
              <w:rPr>
                <w:rFonts w:hint="eastAsia"/>
                <w:sz w:val="20"/>
                <w:szCs w:val="20"/>
              </w:rPr>
              <w:t>，并符合以下要求：</w:t>
            </w:r>
          </w:p>
          <w:p>
            <w:pPr>
              <w:spacing w:line="280" w:lineRule="exact"/>
              <w:ind w:right="-91"/>
              <w:jc w:val="left"/>
              <w:rPr>
                <w:sz w:val="20"/>
                <w:szCs w:val="20"/>
              </w:rPr>
            </w:pPr>
            <w:r>
              <w:rPr>
                <w:rFonts w:hint="eastAsia"/>
                <w:sz w:val="20"/>
                <w:szCs w:val="20"/>
              </w:rPr>
              <w:t>1.铝合金型材应符合现行国家标准，壁厚不小于0.8mm；</w:t>
            </w:r>
          </w:p>
          <w:p>
            <w:pPr>
              <w:spacing w:line="280" w:lineRule="exact"/>
              <w:ind w:right="-91"/>
              <w:jc w:val="left"/>
              <w:rPr>
                <w:rFonts w:ascii="宋体" w:hAnsi="宋体"/>
                <w:sz w:val="20"/>
                <w:szCs w:val="20"/>
              </w:rPr>
            </w:pPr>
            <w:r>
              <w:rPr>
                <w:rFonts w:hint="eastAsia"/>
                <w:sz w:val="20"/>
                <w:szCs w:val="20"/>
              </w:rPr>
              <w:t>2.</w:t>
            </w:r>
            <w:r>
              <w:rPr>
                <w:rFonts w:hint="eastAsia" w:ascii="宋体" w:hAnsi="宋体"/>
                <w:sz w:val="20"/>
                <w:szCs w:val="20"/>
              </w:rPr>
              <w:t xml:space="preserve"> 其他按照实物样板标准执行。</w:t>
            </w:r>
          </w:p>
        </w:tc>
        <w:tc>
          <w:tcPr>
            <w:tcW w:w="1332" w:type="dxa"/>
            <w:vAlign w:val="center"/>
          </w:tcPr>
          <w:p>
            <w:pPr>
              <w:spacing w:line="300" w:lineRule="exact"/>
              <w:ind w:right="-33"/>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jc w:val="center"/>
              <w:rPr>
                <w:rFonts w:ascii="宋体" w:hAnsi="宋体"/>
                <w:sz w:val="20"/>
                <w:szCs w:val="20"/>
              </w:rPr>
            </w:pPr>
            <w:r>
              <w:rPr>
                <w:rFonts w:hint="eastAsia" w:ascii="宋体" w:hAnsi="宋体"/>
                <w:sz w:val="20"/>
                <w:szCs w:val="20"/>
              </w:rPr>
              <w:t>27</w:t>
            </w:r>
          </w:p>
        </w:tc>
        <w:tc>
          <w:tcPr>
            <w:tcW w:w="1256" w:type="dxa"/>
            <w:vAlign w:val="center"/>
          </w:tcPr>
          <w:p>
            <w:pPr>
              <w:ind w:right="-33"/>
              <w:jc w:val="left"/>
              <w:rPr>
                <w:rFonts w:ascii="宋体" w:hAnsi="宋体"/>
                <w:sz w:val="20"/>
                <w:szCs w:val="20"/>
              </w:rPr>
            </w:pPr>
            <w:r>
              <w:rPr>
                <w:rFonts w:hint="eastAsia" w:ascii="宋体" w:hAnsi="宋体"/>
                <w:sz w:val="20"/>
                <w:szCs w:val="20"/>
              </w:rPr>
              <w:t>成品木门</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门</w:t>
            </w:r>
          </w:p>
        </w:tc>
        <w:tc>
          <w:tcPr>
            <w:tcW w:w="5220" w:type="dxa"/>
            <w:tcBorders>
              <w:left w:val="single" w:color="auto" w:sz="4" w:space="0"/>
            </w:tcBorders>
            <w:vAlign w:val="center"/>
          </w:tcPr>
          <w:p>
            <w:pPr>
              <w:spacing w:line="320" w:lineRule="exact"/>
              <w:ind w:right="-91"/>
              <w:rPr>
                <w:rFonts w:ascii="宋体" w:hAnsi="宋体"/>
                <w:sz w:val="20"/>
                <w:szCs w:val="20"/>
              </w:rPr>
            </w:pPr>
            <w:r>
              <w:rPr>
                <w:rFonts w:hint="eastAsia"/>
                <w:sz w:val="20"/>
                <w:szCs w:val="20"/>
              </w:rPr>
              <w:t>门的规格、尺寸符合设计要求，各项性能指标必须满足技术规程的要求，</w:t>
            </w:r>
            <w:r>
              <w:rPr>
                <w:rFonts w:hint="eastAsia" w:ascii="宋体" w:hAnsi="宋体"/>
                <w:sz w:val="20"/>
                <w:szCs w:val="20"/>
              </w:rPr>
              <w:t>并符合下列要求：</w:t>
            </w:r>
          </w:p>
          <w:p>
            <w:pPr>
              <w:spacing w:line="320" w:lineRule="exact"/>
              <w:ind w:right="-91"/>
              <w:rPr>
                <w:rFonts w:ascii="宋体" w:hAnsi="宋体"/>
                <w:sz w:val="20"/>
                <w:szCs w:val="20"/>
              </w:rPr>
            </w:pPr>
            <w:r>
              <w:rPr>
                <w:rFonts w:hint="eastAsia" w:ascii="宋体" w:hAnsi="宋体"/>
                <w:sz w:val="20"/>
                <w:szCs w:val="20"/>
              </w:rPr>
              <w:t>材料：18mm细木工板、实木方、优质5mm夹板、实木线条、环保PU油漆、拉丝面高级不锈钢双舌门锁及合页</w:t>
            </w:r>
          </w:p>
          <w:p>
            <w:pPr>
              <w:spacing w:line="320" w:lineRule="exact"/>
              <w:ind w:right="-91"/>
              <w:rPr>
                <w:rFonts w:ascii="宋体" w:hAnsi="宋体"/>
                <w:sz w:val="20"/>
                <w:szCs w:val="20"/>
              </w:rPr>
            </w:pPr>
            <w:r>
              <w:rPr>
                <w:rFonts w:hint="eastAsia" w:ascii="宋体" w:hAnsi="宋体"/>
                <w:sz w:val="20"/>
                <w:szCs w:val="20"/>
              </w:rPr>
              <w:t>工艺：18mm细木工板及实木方作龙骨架和门框，优质5mm夹板做面板，外封实木线条收口，面油PU环保漆。</w:t>
            </w:r>
          </w:p>
          <w:p>
            <w:pPr>
              <w:spacing w:line="320" w:lineRule="exact"/>
              <w:ind w:right="-91"/>
              <w:rPr>
                <w:rFonts w:ascii="宋体" w:hAnsi="宋体"/>
                <w:sz w:val="20"/>
                <w:szCs w:val="20"/>
              </w:rPr>
            </w:pPr>
            <w:r>
              <w:rPr>
                <w:rFonts w:hint="eastAsia" w:ascii="宋体" w:hAnsi="宋体"/>
                <w:sz w:val="20"/>
                <w:szCs w:val="20"/>
              </w:rPr>
              <w:t>其他执行实物样板要求。</w:t>
            </w:r>
          </w:p>
        </w:tc>
        <w:tc>
          <w:tcPr>
            <w:tcW w:w="1332" w:type="dxa"/>
            <w:vAlign w:val="center"/>
          </w:tcPr>
          <w:p>
            <w:pPr>
              <w:spacing w:line="320" w:lineRule="exac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jc w:val="center"/>
              <w:rPr>
                <w:rFonts w:ascii="宋体" w:hAnsi="宋体"/>
                <w:sz w:val="20"/>
                <w:szCs w:val="20"/>
              </w:rPr>
            </w:pPr>
            <w:r>
              <w:rPr>
                <w:rFonts w:hint="eastAsia" w:ascii="宋体" w:hAnsi="宋体"/>
                <w:sz w:val="20"/>
                <w:szCs w:val="20"/>
              </w:rPr>
              <w:t>28</w:t>
            </w:r>
          </w:p>
        </w:tc>
        <w:tc>
          <w:tcPr>
            <w:tcW w:w="1256" w:type="dxa"/>
            <w:vAlign w:val="center"/>
          </w:tcPr>
          <w:p>
            <w:pPr>
              <w:ind w:right="-33"/>
              <w:jc w:val="left"/>
              <w:rPr>
                <w:rFonts w:ascii="宋体" w:hAnsi="宋体"/>
                <w:sz w:val="20"/>
                <w:szCs w:val="20"/>
              </w:rPr>
            </w:pPr>
            <w:r>
              <w:rPr>
                <w:rFonts w:hint="eastAsia" w:ascii="宋体" w:hAnsi="宋体"/>
                <w:sz w:val="20"/>
                <w:szCs w:val="20"/>
              </w:rPr>
              <w:t>玻璃</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窗</w:t>
            </w:r>
          </w:p>
        </w:tc>
        <w:tc>
          <w:tcPr>
            <w:tcW w:w="5220" w:type="dxa"/>
            <w:tcBorders>
              <w:left w:val="single" w:color="auto" w:sz="4" w:space="0"/>
            </w:tcBorders>
            <w:vAlign w:val="center"/>
          </w:tcPr>
          <w:p>
            <w:pPr>
              <w:spacing w:line="300" w:lineRule="exact"/>
              <w:ind w:right="-33"/>
              <w:rPr>
                <w:rFonts w:ascii="宋体" w:hAnsi="宋体"/>
                <w:sz w:val="20"/>
                <w:szCs w:val="20"/>
              </w:rPr>
            </w:pPr>
            <w:r>
              <w:rPr>
                <w:rFonts w:hint="eastAsia"/>
                <w:sz w:val="20"/>
                <w:szCs w:val="20"/>
              </w:rPr>
              <w:t>表面平整光洁，厚度均匀，符合设计要求。</w:t>
            </w:r>
          </w:p>
        </w:tc>
        <w:tc>
          <w:tcPr>
            <w:tcW w:w="1332" w:type="dxa"/>
            <w:vAlign w:val="center"/>
          </w:tcPr>
          <w:p>
            <w:pPr>
              <w:spacing w:line="320" w:lineRule="exact"/>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1380" w:hRule="atLeast"/>
        </w:trPr>
        <w:tc>
          <w:tcPr>
            <w:tcW w:w="472" w:type="dxa"/>
            <w:vAlign w:val="center"/>
          </w:tcPr>
          <w:p>
            <w:pPr>
              <w:rPr>
                <w:rFonts w:ascii="宋体" w:hAnsi="宋体"/>
                <w:sz w:val="20"/>
                <w:szCs w:val="20"/>
              </w:rPr>
            </w:pPr>
            <w:r>
              <w:rPr>
                <w:rFonts w:hint="eastAsia" w:ascii="宋体" w:hAnsi="宋体"/>
                <w:sz w:val="20"/>
                <w:szCs w:val="20"/>
              </w:rPr>
              <w:t>29</w:t>
            </w:r>
          </w:p>
        </w:tc>
        <w:tc>
          <w:tcPr>
            <w:tcW w:w="1256" w:type="dxa"/>
            <w:vAlign w:val="center"/>
          </w:tcPr>
          <w:p>
            <w:pPr>
              <w:jc w:val="left"/>
              <w:rPr>
                <w:rFonts w:ascii="宋体" w:hAnsi="宋体"/>
                <w:sz w:val="20"/>
                <w:szCs w:val="20"/>
              </w:rPr>
            </w:pPr>
            <w:r>
              <w:rPr>
                <w:rFonts w:hint="eastAsia" w:ascii="宋体" w:hAnsi="宋体"/>
                <w:sz w:val="20"/>
                <w:szCs w:val="20"/>
              </w:rPr>
              <w:t>门窗五金配件</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门、窗</w:t>
            </w:r>
          </w:p>
        </w:tc>
        <w:tc>
          <w:tcPr>
            <w:tcW w:w="5220" w:type="dxa"/>
            <w:tcBorders>
              <w:left w:val="single" w:color="auto" w:sz="4" w:space="0"/>
            </w:tcBorders>
            <w:vAlign w:val="center"/>
          </w:tcPr>
          <w:p>
            <w:pPr>
              <w:spacing w:line="280" w:lineRule="exact"/>
              <w:ind w:right="-91"/>
              <w:jc w:val="left"/>
              <w:rPr>
                <w:rFonts w:ascii="宋体" w:hAnsi="宋体"/>
                <w:sz w:val="20"/>
                <w:szCs w:val="20"/>
              </w:rPr>
            </w:pPr>
            <w:r>
              <w:rPr>
                <w:rFonts w:hint="eastAsia" w:ascii="宋体" w:hAnsi="宋体"/>
                <w:sz w:val="20"/>
                <w:szCs w:val="20"/>
              </w:rPr>
              <w:t>1．</w:t>
            </w:r>
            <w:r>
              <w:rPr>
                <w:rFonts w:hint="eastAsia"/>
                <w:sz w:val="20"/>
                <w:szCs w:val="20"/>
              </w:rPr>
              <w:t>产品为优等品，</w:t>
            </w:r>
            <w:r>
              <w:rPr>
                <w:rFonts w:hint="eastAsia" w:ascii="宋体" w:hAnsi="宋体"/>
                <w:sz w:val="20"/>
                <w:szCs w:val="20"/>
              </w:rPr>
              <w:t>符合国家标准的相关规定及设计要求；</w:t>
            </w:r>
          </w:p>
          <w:p>
            <w:pPr>
              <w:spacing w:line="280" w:lineRule="exact"/>
              <w:ind w:right="-91"/>
              <w:jc w:val="left"/>
              <w:rPr>
                <w:sz w:val="20"/>
                <w:szCs w:val="20"/>
              </w:rPr>
            </w:pPr>
            <w:r>
              <w:rPr>
                <w:rFonts w:hint="eastAsia" w:ascii="宋体" w:hAnsi="宋体"/>
                <w:sz w:val="20"/>
                <w:szCs w:val="20"/>
              </w:rPr>
              <w:t>2.按照实物样板标准执行。</w:t>
            </w:r>
          </w:p>
        </w:tc>
        <w:tc>
          <w:tcPr>
            <w:tcW w:w="1332" w:type="dxa"/>
            <w:vAlign w:val="center"/>
          </w:tcPr>
          <w:p>
            <w:pPr>
              <w:jc w:val="cente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r>
              <w:rPr>
                <w:rFonts w:hint="eastAsia" w:ascii="宋体" w:hAnsi="宋体"/>
                <w:sz w:val="20"/>
                <w:szCs w:val="20"/>
              </w:rPr>
              <w:t>30</w:t>
            </w:r>
          </w:p>
        </w:tc>
        <w:tc>
          <w:tcPr>
            <w:tcW w:w="1256" w:type="dxa"/>
            <w:vAlign w:val="center"/>
          </w:tcPr>
          <w:p>
            <w:pPr>
              <w:jc w:val="left"/>
              <w:rPr>
                <w:rFonts w:ascii="宋体" w:hAnsi="宋体"/>
                <w:sz w:val="20"/>
                <w:szCs w:val="20"/>
              </w:rPr>
            </w:pPr>
            <w:r>
              <w:rPr>
                <w:rFonts w:hint="eastAsia" w:ascii="宋体" w:hAnsi="宋体"/>
                <w:sz w:val="20"/>
                <w:szCs w:val="20"/>
              </w:rPr>
              <w:t>铝合金型材</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门、窗</w:t>
            </w:r>
          </w:p>
        </w:tc>
        <w:tc>
          <w:tcPr>
            <w:tcW w:w="5220" w:type="dxa"/>
            <w:tcBorders>
              <w:left w:val="single" w:color="auto" w:sz="4" w:space="0"/>
            </w:tcBorders>
            <w:vAlign w:val="center"/>
          </w:tcPr>
          <w:p>
            <w:pPr>
              <w:spacing w:line="280" w:lineRule="exact"/>
              <w:ind w:right="-91"/>
              <w:jc w:val="left"/>
              <w:rPr>
                <w:sz w:val="20"/>
                <w:szCs w:val="20"/>
              </w:rPr>
            </w:pPr>
            <w:r>
              <w:rPr>
                <w:rFonts w:hint="eastAsia"/>
                <w:sz w:val="20"/>
                <w:szCs w:val="20"/>
              </w:rPr>
              <w:t>应</w:t>
            </w:r>
            <w:r>
              <w:rPr>
                <w:rFonts w:hint="eastAsia" w:ascii="宋体" w:hAnsi="宋体"/>
                <w:sz w:val="20"/>
                <w:szCs w:val="20"/>
              </w:rPr>
              <w:t>符合国家标准的相关规定及设计要求</w:t>
            </w:r>
            <w:r>
              <w:rPr>
                <w:rFonts w:hint="eastAsia"/>
                <w:sz w:val="20"/>
                <w:szCs w:val="20"/>
              </w:rPr>
              <w:t>，并符合以下要求：</w:t>
            </w:r>
          </w:p>
          <w:p>
            <w:pPr>
              <w:spacing w:line="280" w:lineRule="exact"/>
              <w:ind w:right="-91"/>
              <w:jc w:val="left"/>
              <w:rPr>
                <w:sz w:val="20"/>
                <w:szCs w:val="20"/>
              </w:rPr>
            </w:pPr>
            <w:r>
              <w:rPr>
                <w:rFonts w:hint="eastAsia" w:ascii="宋体" w:hAnsi="宋体"/>
                <w:sz w:val="20"/>
                <w:szCs w:val="20"/>
              </w:rPr>
              <w:t>铝合金门窗型材截面主要受力部位最小壁厚</w:t>
            </w:r>
            <w:r>
              <w:rPr>
                <w:rFonts w:ascii="宋体" w:hAnsi="宋体"/>
                <w:sz w:val="20"/>
                <w:szCs w:val="20"/>
              </w:rPr>
              <w:t>2.0mm</w:t>
            </w:r>
            <w:r>
              <w:rPr>
                <w:rFonts w:hint="eastAsia" w:ascii="宋体" w:hAnsi="宋体"/>
                <w:sz w:val="20"/>
                <w:szCs w:val="20"/>
              </w:rPr>
              <w:t>。窗型材截面主要受力部位最小壁厚</w:t>
            </w:r>
            <w:r>
              <w:rPr>
                <w:rFonts w:ascii="宋体" w:hAnsi="宋体"/>
                <w:sz w:val="20"/>
                <w:szCs w:val="20"/>
              </w:rPr>
              <w:t>1.4mm</w:t>
            </w:r>
            <w:r>
              <w:rPr>
                <w:rFonts w:hint="eastAsia" w:ascii="宋体" w:hAnsi="宋体"/>
                <w:sz w:val="20"/>
                <w:szCs w:val="20"/>
              </w:rPr>
              <w:t>。</w:t>
            </w:r>
          </w:p>
        </w:tc>
        <w:tc>
          <w:tcPr>
            <w:tcW w:w="1332" w:type="dxa"/>
            <w:vAlign w:val="center"/>
          </w:tcPr>
          <w:p>
            <w:pPr>
              <w:rPr>
                <w:rFonts w:ascii="宋体" w:hAnsi="宋体"/>
                <w:sz w:val="20"/>
                <w:szCs w:val="20"/>
              </w:rPr>
            </w:pPr>
            <w:r>
              <w:rPr>
                <w:rFonts w:hint="eastAsia" w:ascii="宋体" w:hAnsi="宋体"/>
                <w:sz w:val="20"/>
                <w:szCs w:val="20"/>
              </w:rPr>
              <w:t>不推荐品牌</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r>
              <w:rPr>
                <w:rFonts w:hint="eastAsia" w:ascii="宋体" w:hAnsi="宋体"/>
                <w:sz w:val="20"/>
                <w:szCs w:val="20"/>
              </w:rPr>
              <w:t>31</w:t>
            </w:r>
          </w:p>
        </w:tc>
        <w:tc>
          <w:tcPr>
            <w:tcW w:w="1256" w:type="dxa"/>
            <w:vAlign w:val="center"/>
          </w:tcPr>
          <w:p>
            <w:pPr>
              <w:jc w:val="left"/>
              <w:rPr>
                <w:rFonts w:ascii="宋体" w:hAnsi="宋体"/>
                <w:sz w:val="20"/>
                <w:szCs w:val="20"/>
              </w:rPr>
            </w:pPr>
            <w:r>
              <w:rPr>
                <w:rFonts w:hint="eastAsia" w:ascii="宋体" w:hAnsi="宋体"/>
                <w:sz w:val="20"/>
                <w:szCs w:val="20"/>
              </w:rPr>
              <w:t>卫生间成品隔断(抗倍特板)</w:t>
            </w:r>
          </w:p>
        </w:tc>
        <w:tc>
          <w:tcPr>
            <w:tcW w:w="1080" w:type="dxa"/>
            <w:tcBorders>
              <w:right w:val="single" w:color="auto" w:sz="4" w:space="0"/>
            </w:tcBorders>
            <w:vAlign w:val="center"/>
          </w:tcPr>
          <w:p>
            <w:pPr>
              <w:jc w:val="left"/>
              <w:rPr>
                <w:rFonts w:ascii="宋体" w:hAnsi="宋体"/>
                <w:sz w:val="20"/>
                <w:szCs w:val="20"/>
              </w:rPr>
            </w:pPr>
            <w:r>
              <w:rPr>
                <w:rFonts w:hint="eastAsia" w:ascii="宋体" w:hAnsi="宋体"/>
                <w:sz w:val="20"/>
                <w:szCs w:val="20"/>
              </w:rPr>
              <w:t>卫生间</w:t>
            </w:r>
          </w:p>
        </w:tc>
        <w:tc>
          <w:tcPr>
            <w:tcW w:w="5220" w:type="dxa"/>
            <w:tcBorders>
              <w:left w:val="single" w:color="auto" w:sz="4" w:space="0"/>
            </w:tcBorders>
            <w:vAlign w:val="center"/>
          </w:tcPr>
          <w:p>
            <w:pPr>
              <w:spacing w:line="280" w:lineRule="exact"/>
              <w:ind w:right="-91"/>
              <w:jc w:val="left"/>
              <w:rPr>
                <w:sz w:val="20"/>
                <w:szCs w:val="20"/>
              </w:rPr>
            </w:pPr>
            <w:r>
              <w:rPr>
                <w:rFonts w:hint="eastAsia"/>
                <w:sz w:val="20"/>
                <w:szCs w:val="20"/>
              </w:rPr>
              <w:t>1.板材和配件：</w:t>
            </w:r>
          </w:p>
          <w:p>
            <w:pPr>
              <w:spacing w:line="280" w:lineRule="exact"/>
              <w:jc w:val="left"/>
              <w:rPr>
                <w:rFonts w:ascii="宋体" w:hAnsi="宋体"/>
                <w:sz w:val="20"/>
                <w:szCs w:val="20"/>
              </w:rPr>
            </w:pPr>
            <w:r>
              <w:rPr>
                <w:rFonts w:hint="eastAsia" w:ascii="宋体" w:hAnsi="宋体"/>
                <w:sz w:val="20"/>
                <w:szCs w:val="20"/>
              </w:rPr>
              <w:t>（1）板材为12mm厚，1800mm高，分隔与宽度根据设计要求，主要材料为热固型酚醛树脂。（</w:t>
            </w:r>
          </w:p>
          <w:p>
            <w:pPr>
              <w:spacing w:line="280" w:lineRule="exact"/>
              <w:jc w:val="left"/>
              <w:rPr>
                <w:rFonts w:ascii="宋体" w:hAnsi="宋体"/>
                <w:sz w:val="20"/>
                <w:szCs w:val="20"/>
              </w:rPr>
            </w:pPr>
            <w:r>
              <w:rPr>
                <w:rFonts w:hint="eastAsia" w:ascii="宋体" w:hAnsi="宋体"/>
                <w:sz w:val="20"/>
                <w:szCs w:val="20"/>
              </w:rPr>
              <w:t>（2）配件需选用优质尼龙配件。</w:t>
            </w:r>
          </w:p>
          <w:p>
            <w:pPr>
              <w:spacing w:line="280" w:lineRule="exact"/>
              <w:jc w:val="left"/>
              <w:rPr>
                <w:rFonts w:ascii="宋体" w:hAnsi="宋体"/>
                <w:sz w:val="20"/>
                <w:szCs w:val="20"/>
              </w:rPr>
            </w:pPr>
            <w:r>
              <w:rPr>
                <w:rFonts w:hint="eastAsia" w:ascii="宋体" w:hAnsi="宋体"/>
                <w:sz w:val="20"/>
                <w:szCs w:val="20"/>
              </w:rPr>
              <w:t>（3）隔断支腿内必须加衬钢。</w:t>
            </w:r>
          </w:p>
          <w:p>
            <w:pPr>
              <w:spacing w:line="280" w:lineRule="exact"/>
              <w:jc w:val="left"/>
              <w:rPr>
                <w:rFonts w:ascii="宋体" w:hAnsi="宋体"/>
                <w:sz w:val="20"/>
                <w:szCs w:val="20"/>
              </w:rPr>
            </w:pPr>
            <w:r>
              <w:rPr>
                <w:rFonts w:hint="eastAsia" w:ascii="宋体" w:hAnsi="宋体"/>
                <w:sz w:val="20"/>
                <w:szCs w:val="20"/>
              </w:rPr>
              <w:t>（4）隔断顶部拉接杆材质为铝合金。</w:t>
            </w:r>
          </w:p>
          <w:p>
            <w:pPr>
              <w:spacing w:line="280" w:lineRule="exact"/>
              <w:ind w:right="-91"/>
              <w:jc w:val="left"/>
              <w:rPr>
                <w:rFonts w:ascii="宋体" w:hAnsi="宋体"/>
                <w:sz w:val="20"/>
                <w:szCs w:val="20"/>
              </w:rPr>
            </w:pPr>
            <w:r>
              <w:rPr>
                <w:rFonts w:hint="eastAsia" w:ascii="宋体" w:hAnsi="宋体"/>
                <w:sz w:val="20"/>
                <w:szCs w:val="20"/>
              </w:rPr>
              <w:t>（5）蹲位隔断和冲凉隔断均应合理布置支腿和吊件。</w:t>
            </w:r>
          </w:p>
          <w:p>
            <w:pPr>
              <w:spacing w:line="280" w:lineRule="exact"/>
              <w:ind w:right="-91"/>
              <w:jc w:val="left"/>
              <w:rPr>
                <w:sz w:val="20"/>
                <w:szCs w:val="20"/>
              </w:rPr>
            </w:pPr>
            <w:r>
              <w:rPr>
                <w:rFonts w:hint="eastAsia"/>
                <w:sz w:val="20"/>
                <w:szCs w:val="20"/>
              </w:rPr>
              <w:t>2．防火要求：</w:t>
            </w:r>
          </w:p>
          <w:p>
            <w:pPr>
              <w:spacing w:line="280" w:lineRule="exact"/>
              <w:ind w:right="-91"/>
              <w:jc w:val="left"/>
              <w:rPr>
                <w:sz w:val="20"/>
                <w:szCs w:val="20"/>
              </w:rPr>
            </w:pPr>
            <w:r>
              <w:rPr>
                <w:rFonts w:hint="eastAsia" w:ascii="宋体" w:hAnsi="宋体"/>
                <w:sz w:val="20"/>
                <w:szCs w:val="20"/>
              </w:rPr>
              <w:t>产品的燃烧性能必须达到国家标准GB/T8624-1997《建筑材料燃烧性能分级方法》中的B</w:t>
            </w:r>
            <w:r>
              <w:rPr>
                <w:rFonts w:hint="eastAsia" w:ascii="宋体" w:hAnsi="宋体"/>
                <w:sz w:val="20"/>
                <w:szCs w:val="20"/>
                <w:vertAlign w:val="subscript"/>
              </w:rPr>
              <w:t>2</w:t>
            </w:r>
            <w:r>
              <w:rPr>
                <w:rFonts w:hint="eastAsia" w:ascii="宋体" w:hAnsi="宋体"/>
                <w:sz w:val="20"/>
                <w:szCs w:val="20"/>
              </w:rPr>
              <w:t>级要求。</w:t>
            </w:r>
          </w:p>
          <w:p>
            <w:pPr>
              <w:spacing w:line="280" w:lineRule="exact"/>
              <w:jc w:val="left"/>
              <w:rPr>
                <w:rFonts w:ascii="宋体" w:hAnsi="宋体"/>
                <w:sz w:val="20"/>
                <w:szCs w:val="20"/>
              </w:rPr>
            </w:pPr>
            <w:r>
              <w:rPr>
                <w:rFonts w:hint="eastAsia" w:ascii="宋体" w:hAnsi="宋体"/>
                <w:sz w:val="20"/>
                <w:szCs w:val="20"/>
              </w:rPr>
              <w:t>3. 其它按照实物样板标准执行。</w:t>
            </w:r>
          </w:p>
        </w:tc>
        <w:tc>
          <w:tcPr>
            <w:tcW w:w="1332" w:type="dxa"/>
            <w:vAlign w:val="center"/>
          </w:tcPr>
          <w:p>
            <w:pPr>
              <w:spacing w:line="300" w:lineRule="exact"/>
              <w:ind w:right="-33"/>
              <w:rPr>
                <w:rFonts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r>
              <w:rPr>
                <w:rFonts w:hint="eastAsia" w:ascii="宋体" w:hAnsi="宋体"/>
                <w:sz w:val="20"/>
                <w:szCs w:val="20"/>
              </w:rPr>
              <w:t>32</w:t>
            </w:r>
          </w:p>
        </w:tc>
        <w:tc>
          <w:tcPr>
            <w:tcW w:w="1256" w:type="dxa"/>
            <w:vAlign w:val="center"/>
          </w:tcPr>
          <w:p>
            <w:pPr>
              <w:rPr>
                <w:rFonts w:ascii="宋体" w:hAnsi="宋体"/>
                <w:sz w:val="20"/>
                <w:szCs w:val="20"/>
              </w:rPr>
            </w:pPr>
            <w:r>
              <w:rPr>
                <w:rFonts w:hint="eastAsia" w:ascii="宋体" w:hAnsi="宋体"/>
                <w:sz w:val="20"/>
                <w:szCs w:val="20"/>
              </w:rPr>
              <w:t>花岗岩石材</w:t>
            </w:r>
          </w:p>
        </w:tc>
        <w:tc>
          <w:tcPr>
            <w:tcW w:w="1080" w:type="dxa"/>
            <w:tcBorders>
              <w:right w:val="single" w:color="auto" w:sz="4" w:space="0"/>
            </w:tcBorders>
            <w:vAlign w:val="center"/>
          </w:tcPr>
          <w:p>
            <w:pPr>
              <w:rPr>
                <w:rFonts w:ascii="宋体" w:hAnsi="宋体"/>
                <w:sz w:val="20"/>
                <w:szCs w:val="20"/>
              </w:rPr>
            </w:pPr>
            <w:r>
              <w:rPr>
                <w:rFonts w:hint="eastAsia" w:ascii="宋体" w:hAnsi="宋体"/>
                <w:sz w:val="20"/>
                <w:szCs w:val="20"/>
              </w:rPr>
              <w:t>地面、墙面等</w:t>
            </w:r>
          </w:p>
          <w:p>
            <w:pPr>
              <w:rPr>
                <w:rFonts w:ascii="宋体" w:hAnsi="宋体"/>
                <w:sz w:val="20"/>
                <w:szCs w:val="20"/>
              </w:rPr>
            </w:pPr>
          </w:p>
        </w:tc>
        <w:tc>
          <w:tcPr>
            <w:tcW w:w="5220" w:type="dxa"/>
            <w:tcBorders>
              <w:left w:val="single" w:color="auto" w:sz="4" w:space="0"/>
            </w:tcBorders>
          </w:tcPr>
          <w:p>
            <w:pPr>
              <w:spacing w:line="280" w:lineRule="exact"/>
              <w:ind w:right="-91"/>
              <w:jc w:val="left"/>
              <w:rPr>
                <w:rFonts w:ascii="宋体" w:hAnsi="宋体"/>
                <w:sz w:val="20"/>
                <w:szCs w:val="20"/>
              </w:rPr>
            </w:pPr>
            <w:r>
              <w:rPr>
                <w:rFonts w:hint="eastAsia" w:ascii="宋体" w:hAnsi="宋体"/>
                <w:sz w:val="20"/>
                <w:szCs w:val="20"/>
              </w:rPr>
              <w:t>符合国家标准的相关规定、环保要求及设计要求,</w:t>
            </w:r>
            <w:r>
              <w:rPr>
                <w:rFonts w:hint="eastAsia"/>
                <w:sz w:val="20"/>
                <w:szCs w:val="20"/>
              </w:rPr>
              <w:t>并符合如下要求：</w:t>
            </w:r>
          </w:p>
          <w:p>
            <w:pPr>
              <w:rPr>
                <w:rFonts w:ascii="宋体" w:hAnsi="宋体"/>
                <w:sz w:val="20"/>
                <w:szCs w:val="20"/>
              </w:rPr>
            </w:pPr>
            <w:r>
              <w:rPr>
                <w:rFonts w:hint="eastAsia" w:ascii="宋体" w:hAnsi="宋体"/>
                <w:sz w:val="20"/>
                <w:szCs w:val="20"/>
              </w:rPr>
              <w:t>1.外观质量：达到优等品标准，不允许出现缺棱、缺角、裂纹、坑窝等缺陷，板面应洁净、无污染，不能有明显扫纹。同一批板材颜色的色调、花纹基本协调，无明显色差。</w:t>
            </w:r>
          </w:p>
          <w:p>
            <w:pPr>
              <w:rPr>
                <w:rFonts w:ascii="宋体" w:hAnsi="宋体"/>
                <w:sz w:val="20"/>
                <w:szCs w:val="20"/>
              </w:rPr>
            </w:pPr>
            <w:r>
              <w:rPr>
                <w:rFonts w:hint="eastAsia" w:ascii="宋体" w:hAnsi="宋体"/>
                <w:sz w:val="20"/>
                <w:szCs w:val="20"/>
              </w:rPr>
              <w:t>2.吸水率：≤</w:t>
            </w:r>
            <w:r>
              <w:rPr>
                <w:rFonts w:ascii="宋体" w:hAnsi="宋体"/>
                <w:sz w:val="20"/>
                <w:szCs w:val="20"/>
              </w:rPr>
              <w:t>1.0%</w:t>
            </w:r>
          </w:p>
          <w:p>
            <w:pPr>
              <w:rPr>
                <w:rFonts w:ascii="宋体" w:hAnsi="宋体"/>
                <w:sz w:val="20"/>
                <w:szCs w:val="20"/>
              </w:rPr>
            </w:pPr>
            <w:r>
              <w:rPr>
                <w:rFonts w:hint="eastAsia" w:ascii="宋体" w:hAnsi="宋体"/>
                <w:sz w:val="20"/>
                <w:szCs w:val="20"/>
              </w:rPr>
              <w:t>3.板材加工需用大砂锯、自动磨光机及红外线切边机，同一块板材厚度允许极差：≤</w:t>
            </w:r>
            <w:r>
              <w:rPr>
                <w:rFonts w:ascii="宋体" w:hAnsi="宋体"/>
                <w:sz w:val="20"/>
                <w:szCs w:val="20"/>
              </w:rPr>
              <w:t>1.5mm</w:t>
            </w:r>
            <w:r>
              <w:rPr>
                <w:rFonts w:hint="eastAsia" w:ascii="宋体" w:hAnsi="宋体"/>
                <w:sz w:val="20"/>
                <w:szCs w:val="20"/>
              </w:rPr>
              <w:t>；拼缝板材正面和侧面的夹角：≤</w:t>
            </w:r>
            <w:r>
              <w:rPr>
                <w:rFonts w:ascii="宋体" w:hAnsi="宋体"/>
                <w:sz w:val="20"/>
                <w:szCs w:val="20"/>
              </w:rPr>
              <w:t>90</w:t>
            </w:r>
            <w:r>
              <w:rPr>
                <w:rFonts w:hint="eastAsia" w:ascii="宋体" w:hAnsi="宋体"/>
                <w:sz w:val="20"/>
                <w:szCs w:val="20"/>
              </w:rPr>
              <w:t>；长度允许公差：≤</w:t>
            </w:r>
            <w:r>
              <w:rPr>
                <w:rFonts w:ascii="宋体" w:hAnsi="宋体"/>
                <w:sz w:val="20"/>
                <w:szCs w:val="20"/>
              </w:rPr>
              <w:t>0.5mm</w:t>
            </w:r>
            <w:r>
              <w:rPr>
                <w:rFonts w:hint="eastAsia" w:ascii="宋体" w:hAnsi="宋体"/>
                <w:sz w:val="20"/>
                <w:szCs w:val="20"/>
              </w:rPr>
              <w:t>，角度允许公差：≤</w:t>
            </w:r>
            <w:r>
              <w:rPr>
                <w:rFonts w:ascii="宋体" w:hAnsi="宋体"/>
                <w:sz w:val="20"/>
                <w:szCs w:val="20"/>
              </w:rPr>
              <w:t>0.4mm</w:t>
            </w:r>
          </w:p>
          <w:p>
            <w:pPr>
              <w:rPr>
                <w:rFonts w:ascii="宋体" w:hAnsi="宋体"/>
                <w:sz w:val="20"/>
                <w:szCs w:val="20"/>
              </w:rPr>
            </w:pPr>
            <w:r>
              <w:rPr>
                <w:rFonts w:hint="eastAsia" w:ascii="宋体" w:hAnsi="宋体"/>
                <w:sz w:val="20"/>
                <w:szCs w:val="20"/>
              </w:rPr>
              <w:t>4.防水处理：用于地面和湿贴石材墙面的花岗石板应在加工厂完成六面防浸透处理，防污保护材料宜采用国际知名品牌</w:t>
            </w:r>
          </w:p>
          <w:p>
            <w:pPr>
              <w:rPr>
                <w:rFonts w:ascii="宋体" w:hAnsi="宋体"/>
                <w:sz w:val="20"/>
                <w:szCs w:val="20"/>
              </w:rPr>
            </w:pPr>
            <w:r>
              <w:rPr>
                <w:rFonts w:hint="eastAsia" w:ascii="宋体" w:hAnsi="宋体"/>
                <w:sz w:val="20"/>
                <w:szCs w:val="20"/>
              </w:rPr>
              <w:t>其它按照现场实物样板标准执行</w:t>
            </w:r>
          </w:p>
          <w:p>
            <w:pPr>
              <w:rPr>
                <w:rFonts w:ascii="宋体" w:hAnsi="宋体"/>
                <w:sz w:val="20"/>
                <w:szCs w:val="20"/>
              </w:rPr>
            </w:pPr>
          </w:p>
        </w:tc>
        <w:tc>
          <w:tcPr>
            <w:tcW w:w="1332" w:type="dxa"/>
            <w:vAlign w:val="center"/>
          </w:tcPr>
          <w:p>
            <w:pPr>
              <w:jc w:val="cente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r>
              <w:rPr>
                <w:rFonts w:hint="eastAsia" w:ascii="宋体" w:hAnsi="宋体"/>
                <w:sz w:val="20"/>
                <w:szCs w:val="20"/>
              </w:rPr>
              <w:t>33</w:t>
            </w:r>
          </w:p>
        </w:tc>
        <w:tc>
          <w:tcPr>
            <w:tcW w:w="1256" w:type="dxa"/>
            <w:vAlign w:val="center"/>
          </w:tcPr>
          <w:p>
            <w:pPr>
              <w:rPr>
                <w:rFonts w:ascii="宋体" w:hAnsi="宋体"/>
                <w:sz w:val="20"/>
                <w:szCs w:val="20"/>
              </w:rPr>
            </w:pPr>
            <w:r>
              <w:rPr>
                <w:rFonts w:hint="eastAsia" w:ascii="宋体" w:hAnsi="宋体"/>
                <w:sz w:val="20"/>
                <w:szCs w:val="20"/>
              </w:rPr>
              <w:t>防水砼掺膨胀剂</w:t>
            </w:r>
          </w:p>
        </w:tc>
        <w:tc>
          <w:tcPr>
            <w:tcW w:w="1080" w:type="dxa"/>
            <w:tcBorders>
              <w:right w:val="single" w:color="auto" w:sz="4" w:space="0"/>
            </w:tcBorders>
            <w:vAlign w:val="center"/>
          </w:tcPr>
          <w:p>
            <w:pPr>
              <w:rPr>
                <w:rFonts w:ascii="宋体" w:hAnsi="宋体"/>
                <w:sz w:val="20"/>
                <w:szCs w:val="20"/>
              </w:rPr>
            </w:pPr>
            <w:r>
              <w:rPr>
                <w:rFonts w:hint="eastAsia" w:ascii="宋体" w:hAnsi="宋体"/>
                <w:sz w:val="20"/>
                <w:szCs w:val="20"/>
              </w:rPr>
              <w:t>屋面</w:t>
            </w:r>
          </w:p>
        </w:tc>
        <w:tc>
          <w:tcPr>
            <w:tcW w:w="5220" w:type="dxa"/>
            <w:tcBorders>
              <w:left w:val="single" w:color="auto" w:sz="4" w:space="0"/>
            </w:tcBorders>
          </w:tcPr>
          <w:p>
            <w:pPr>
              <w:spacing w:line="280" w:lineRule="exact"/>
              <w:ind w:right="-91"/>
              <w:jc w:val="left"/>
              <w:rPr>
                <w:rFonts w:ascii="宋体" w:hAnsi="宋体"/>
                <w:sz w:val="20"/>
                <w:szCs w:val="20"/>
              </w:rPr>
            </w:pPr>
            <w:r>
              <w:rPr>
                <w:rFonts w:hint="eastAsia" w:ascii="宋体" w:hAnsi="宋体"/>
                <w:sz w:val="20"/>
                <w:szCs w:val="20"/>
              </w:rPr>
              <w:t>符合JC/T476-1992国家标准的相关规定</w:t>
            </w:r>
          </w:p>
        </w:tc>
        <w:tc>
          <w:tcPr>
            <w:tcW w:w="1332" w:type="dxa"/>
            <w:vAlign w:val="center"/>
          </w:tcPr>
          <w:p>
            <w:pPr>
              <w:jc w:val="cente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jc w:val="center"/>
              <w:rPr>
                <w:rFonts w:ascii="宋体" w:hAnsi="宋体"/>
                <w:sz w:val="20"/>
                <w:szCs w:val="20"/>
              </w:rPr>
            </w:pPr>
            <w:r>
              <w:rPr>
                <w:rFonts w:hint="eastAsia" w:ascii="宋体" w:hAnsi="宋体"/>
                <w:sz w:val="20"/>
                <w:szCs w:val="20"/>
              </w:rPr>
              <w:t>34</w:t>
            </w:r>
          </w:p>
        </w:tc>
        <w:tc>
          <w:tcPr>
            <w:tcW w:w="1256" w:type="dxa"/>
            <w:vAlign w:val="center"/>
          </w:tcPr>
          <w:p>
            <w:pPr>
              <w:ind w:right="-33"/>
              <w:jc w:val="left"/>
              <w:rPr>
                <w:rFonts w:ascii="宋体" w:hAnsi="宋体"/>
                <w:sz w:val="20"/>
                <w:szCs w:val="20"/>
              </w:rPr>
            </w:pPr>
            <w:r>
              <w:rPr>
                <w:rFonts w:hint="eastAsia" w:ascii="宋体" w:hAnsi="宋体"/>
                <w:sz w:val="20"/>
                <w:szCs w:val="20"/>
              </w:rPr>
              <w:t>其它材料</w:t>
            </w:r>
          </w:p>
        </w:tc>
        <w:tc>
          <w:tcPr>
            <w:tcW w:w="1080" w:type="dxa"/>
            <w:tcBorders>
              <w:right w:val="single" w:color="auto" w:sz="4" w:space="0"/>
            </w:tcBorders>
            <w:vAlign w:val="center"/>
          </w:tcPr>
          <w:p>
            <w:pPr>
              <w:jc w:val="left"/>
              <w:rPr>
                <w:rFonts w:ascii="宋体" w:hAnsi="宋体"/>
                <w:sz w:val="20"/>
                <w:szCs w:val="20"/>
              </w:rPr>
            </w:pPr>
          </w:p>
        </w:tc>
        <w:tc>
          <w:tcPr>
            <w:tcW w:w="5220" w:type="dxa"/>
            <w:tcBorders>
              <w:left w:val="single" w:color="auto" w:sz="4" w:space="0"/>
            </w:tcBorders>
          </w:tcPr>
          <w:p>
            <w:pPr>
              <w:spacing w:line="320" w:lineRule="exact"/>
              <w:rPr>
                <w:rFonts w:ascii="宋体" w:hAnsi="宋体"/>
                <w:sz w:val="20"/>
                <w:szCs w:val="20"/>
              </w:rPr>
            </w:pPr>
            <w:r>
              <w:rPr>
                <w:rFonts w:hint="eastAsia" w:ascii="宋体" w:hAnsi="宋体"/>
                <w:sz w:val="20"/>
                <w:szCs w:val="20"/>
              </w:rPr>
              <w:t>1.所用材料的品种、规格和质量就符合设计要求和国家现行标准的规定。当设计无要求时应符合国家现行标准的规定，严禁使用国家明令淘汰的材料。</w:t>
            </w:r>
          </w:p>
          <w:p>
            <w:pPr>
              <w:spacing w:line="320" w:lineRule="exact"/>
              <w:rPr>
                <w:rFonts w:ascii="宋体" w:hAnsi="宋体"/>
                <w:sz w:val="20"/>
                <w:szCs w:val="20"/>
              </w:rPr>
            </w:pPr>
            <w:r>
              <w:rPr>
                <w:rFonts w:hint="eastAsia" w:ascii="宋体" w:hAnsi="宋体"/>
                <w:sz w:val="20"/>
                <w:szCs w:val="20"/>
              </w:rPr>
              <w:t>2.所用材料的燃烧性应符合现行国家标准《建筑内部装修设计防火规范》（GB50222-95）、《建筑设计防火规范》（GBJ16-87）。</w:t>
            </w:r>
          </w:p>
          <w:p>
            <w:pPr>
              <w:spacing w:line="320" w:lineRule="exact"/>
              <w:rPr>
                <w:rFonts w:ascii="宋体" w:hAnsi="宋体"/>
                <w:sz w:val="20"/>
                <w:szCs w:val="20"/>
              </w:rPr>
            </w:pPr>
            <w:r>
              <w:rPr>
                <w:rFonts w:hint="eastAsia" w:ascii="宋体" w:hAnsi="宋体"/>
                <w:sz w:val="20"/>
                <w:szCs w:val="20"/>
              </w:rPr>
              <w:t>3.所用材料应符合国家有关建筑装饰装修材料有害物质限量标准的规定；</w:t>
            </w:r>
          </w:p>
          <w:p>
            <w:pPr>
              <w:spacing w:line="320" w:lineRule="exact"/>
              <w:rPr>
                <w:rFonts w:ascii="宋体" w:hAnsi="宋体"/>
                <w:sz w:val="20"/>
                <w:szCs w:val="20"/>
              </w:rPr>
            </w:pPr>
            <w:r>
              <w:rPr>
                <w:rFonts w:hint="eastAsia" w:ascii="宋体" w:hAnsi="宋体"/>
                <w:sz w:val="20"/>
                <w:szCs w:val="20"/>
              </w:rPr>
              <w:t>4.所有材料进场时应对品种、规格、外观和尺寸进行验收。材料包装应完好，应有产品合格证书、中文说明书及相关性能的检测报告；进口产品应按规定进行商品检验。</w:t>
            </w:r>
          </w:p>
          <w:p>
            <w:pPr>
              <w:spacing w:line="320" w:lineRule="exact"/>
              <w:rPr>
                <w:rFonts w:ascii="宋体" w:hAnsi="宋体"/>
                <w:sz w:val="20"/>
                <w:szCs w:val="20"/>
              </w:rPr>
            </w:pPr>
            <w:r>
              <w:rPr>
                <w:rFonts w:hint="eastAsia" w:ascii="宋体" w:hAnsi="宋体"/>
                <w:sz w:val="20"/>
                <w:szCs w:val="20"/>
              </w:rPr>
              <w:t>5.进场后需进行复检的材料种类及项目应符合《建筑装饰装修工程质量验收规范》（GB50210-2001）各章的规定。同一厂家生产的同一品种、同一类型的进场材料应至少抽取一组样品进行复检，当合同另有约定时应按合同执行。</w:t>
            </w:r>
          </w:p>
          <w:p>
            <w:pPr>
              <w:spacing w:line="320" w:lineRule="exact"/>
              <w:rPr>
                <w:rFonts w:ascii="宋体" w:hAnsi="宋体"/>
                <w:sz w:val="20"/>
                <w:szCs w:val="20"/>
              </w:rPr>
            </w:pPr>
            <w:r>
              <w:rPr>
                <w:rFonts w:hint="eastAsia" w:ascii="宋体" w:hAnsi="宋体"/>
                <w:sz w:val="20"/>
                <w:szCs w:val="20"/>
              </w:rPr>
              <w:t>6.当国家规定或合同约定应对材料进行见证检测时，或对材料的质量发生争议时，应进行见证检测。</w:t>
            </w:r>
          </w:p>
          <w:p>
            <w:pPr>
              <w:spacing w:line="320" w:lineRule="exact"/>
              <w:rPr>
                <w:rFonts w:ascii="宋体" w:hAnsi="宋体"/>
                <w:sz w:val="20"/>
                <w:szCs w:val="20"/>
              </w:rPr>
            </w:pPr>
            <w:r>
              <w:rPr>
                <w:rFonts w:hint="eastAsia" w:ascii="宋体" w:hAnsi="宋体"/>
                <w:sz w:val="20"/>
                <w:szCs w:val="20"/>
              </w:rPr>
              <w:t>7.承担建筑装饰装修材料检测的单位应具备相应的资质，并应建立质量管理体系。</w:t>
            </w:r>
          </w:p>
          <w:p>
            <w:pPr>
              <w:spacing w:line="320" w:lineRule="exact"/>
              <w:rPr>
                <w:rFonts w:ascii="宋体" w:hAnsi="宋体"/>
                <w:sz w:val="20"/>
                <w:szCs w:val="20"/>
              </w:rPr>
            </w:pPr>
            <w:r>
              <w:rPr>
                <w:rFonts w:hint="eastAsia" w:ascii="宋体" w:hAnsi="宋体"/>
                <w:sz w:val="20"/>
                <w:szCs w:val="20"/>
              </w:rPr>
              <w:t>8.建筑装饰装修工程所使用的材料在运输、储存和施工过程中，必须采取有效措施防止损坏，变质和污染环境。</w:t>
            </w:r>
          </w:p>
          <w:p>
            <w:pPr>
              <w:spacing w:line="320" w:lineRule="exact"/>
              <w:rPr>
                <w:rFonts w:ascii="宋体" w:hAnsi="宋体"/>
                <w:sz w:val="20"/>
                <w:szCs w:val="20"/>
              </w:rPr>
            </w:pPr>
            <w:r>
              <w:rPr>
                <w:rFonts w:hint="eastAsia" w:ascii="宋体" w:hAnsi="宋体"/>
                <w:sz w:val="20"/>
                <w:szCs w:val="20"/>
              </w:rPr>
              <w:t>建筑装饰装修工程所使用的材料应按设计要求进行防火、防腐和防虫处理。</w:t>
            </w:r>
          </w:p>
          <w:p>
            <w:pPr>
              <w:spacing w:line="320" w:lineRule="exact"/>
              <w:rPr>
                <w:rFonts w:ascii="宋体" w:hAnsi="宋体"/>
                <w:sz w:val="20"/>
                <w:szCs w:val="20"/>
              </w:rPr>
            </w:pPr>
            <w:r>
              <w:rPr>
                <w:rFonts w:hint="eastAsia" w:ascii="宋体" w:hAnsi="宋体"/>
                <w:sz w:val="20"/>
                <w:szCs w:val="20"/>
              </w:rPr>
              <w:t>9.现场配制的材料如砂浆、胶粘剂等，应按设计要求或产品说明书配制。</w:t>
            </w:r>
          </w:p>
          <w:p>
            <w:pPr>
              <w:pStyle w:val="4"/>
              <w:numPr>
                <w:ilvl w:val="2"/>
                <w:numId w:val="0"/>
              </w:numPr>
              <w:spacing w:line="320" w:lineRule="exact"/>
              <w:rPr>
                <w:sz w:val="20"/>
                <w:szCs w:val="20"/>
              </w:rPr>
            </w:pPr>
            <w:r>
              <w:rPr>
                <w:rFonts w:hint="eastAsia"/>
                <w:sz w:val="20"/>
                <w:szCs w:val="20"/>
              </w:rPr>
              <w:t>10.复层涂料应符合GB/T9779-88要求，采用一级品及以上产品。</w:t>
            </w:r>
          </w:p>
        </w:tc>
        <w:tc>
          <w:tcPr>
            <w:tcW w:w="1332" w:type="dxa"/>
            <w:vAlign w:val="center"/>
          </w:tcPr>
          <w:p>
            <w:pPr>
              <w:jc w:val="cente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p>
        </w:tc>
        <w:tc>
          <w:tcPr>
            <w:tcW w:w="1256" w:type="dxa"/>
            <w:vAlign w:val="center"/>
          </w:tcPr>
          <w:p>
            <w:pPr>
              <w:rPr>
                <w:rFonts w:ascii="宋体" w:hAnsi="宋体"/>
                <w:sz w:val="20"/>
                <w:szCs w:val="20"/>
              </w:rPr>
            </w:pPr>
          </w:p>
        </w:tc>
        <w:tc>
          <w:tcPr>
            <w:tcW w:w="1080" w:type="dxa"/>
            <w:tcBorders>
              <w:right w:val="single" w:color="auto" w:sz="4" w:space="0"/>
            </w:tcBorders>
            <w:vAlign w:val="center"/>
          </w:tcPr>
          <w:p>
            <w:pPr>
              <w:rPr>
                <w:rFonts w:ascii="宋体" w:hAnsi="宋体"/>
                <w:sz w:val="20"/>
                <w:szCs w:val="20"/>
              </w:rPr>
            </w:pPr>
          </w:p>
        </w:tc>
        <w:tc>
          <w:tcPr>
            <w:tcW w:w="5220" w:type="dxa"/>
            <w:tcBorders>
              <w:left w:val="single" w:color="auto" w:sz="4" w:space="0"/>
            </w:tcBorders>
          </w:tcPr>
          <w:p>
            <w:pPr>
              <w:rPr>
                <w:rFonts w:ascii="宋体" w:hAnsi="宋体"/>
                <w:sz w:val="20"/>
                <w:szCs w:val="20"/>
              </w:rPr>
            </w:pPr>
          </w:p>
        </w:tc>
        <w:tc>
          <w:tcPr>
            <w:tcW w:w="1332" w:type="dxa"/>
            <w:vAlign w:val="center"/>
          </w:tcPr>
          <w:p>
            <w:pPr>
              <w:rPr>
                <w:rFonts w:ascii="宋体" w:hAnsi="宋体"/>
                <w:sz w:val="20"/>
                <w:szCs w:val="20"/>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Ex>
        <w:trPr>
          <w:trHeight w:val="863" w:hRule="atLeast"/>
        </w:trPr>
        <w:tc>
          <w:tcPr>
            <w:tcW w:w="472" w:type="dxa"/>
            <w:vAlign w:val="center"/>
          </w:tcPr>
          <w:p>
            <w:pPr>
              <w:rPr>
                <w:rFonts w:ascii="宋体" w:hAnsi="宋体"/>
                <w:sz w:val="20"/>
                <w:szCs w:val="20"/>
              </w:rPr>
            </w:pPr>
          </w:p>
        </w:tc>
        <w:tc>
          <w:tcPr>
            <w:tcW w:w="1256" w:type="dxa"/>
            <w:vAlign w:val="center"/>
          </w:tcPr>
          <w:p>
            <w:pPr>
              <w:rPr>
                <w:rFonts w:ascii="宋体" w:hAnsi="宋体"/>
                <w:sz w:val="20"/>
                <w:szCs w:val="20"/>
              </w:rPr>
            </w:pPr>
          </w:p>
        </w:tc>
        <w:tc>
          <w:tcPr>
            <w:tcW w:w="1080" w:type="dxa"/>
            <w:tcBorders>
              <w:right w:val="single" w:color="auto" w:sz="4" w:space="0"/>
            </w:tcBorders>
            <w:vAlign w:val="center"/>
          </w:tcPr>
          <w:p>
            <w:pPr>
              <w:rPr>
                <w:rFonts w:ascii="宋体" w:hAnsi="宋体"/>
                <w:sz w:val="20"/>
                <w:szCs w:val="20"/>
              </w:rPr>
            </w:pPr>
          </w:p>
        </w:tc>
        <w:tc>
          <w:tcPr>
            <w:tcW w:w="5220" w:type="dxa"/>
            <w:tcBorders>
              <w:left w:val="single" w:color="auto" w:sz="4" w:space="0"/>
            </w:tcBorders>
          </w:tcPr>
          <w:p>
            <w:pPr>
              <w:spacing w:line="280" w:lineRule="exact"/>
              <w:ind w:right="-91"/>
              <w:jc w:val="left"/>
              <w:rPr>
                <w:rFonts w:ascii="宋体" w:hAnsi="宋体"/>
                <w:sz w:val="20"/>
                <w:szCs w:val="20"/>
              </w:rPr>
            </w:pPr>
          </w:p>
        </w:tc>
        <w:tc>
          <w:tcPr>
            <w:tcW w:w="1332" w:type="dxa"/>
            <w:vAlign w:val="center"/>
          </w:tcPr>
          <w:p>
            <w:pPr>
              <w:rPr>
                <w:rFonts w:ascii="宋体" w:hAnsi="宋体"/>
                <w:sz w:val="20"/>
                <w:szCs w:val="20"/>
              </w:rPr>
            </w:pPr>
          </w:p>
        </w:tc>
      </w:tr>
    </w:tbl>
    <w:p>
      <w:pPr>
        <w:spacing w:line="360" w:lineRule="auto"/>
        <w:jc w:val="center"/>
        <w:rPr>
          <w:rFonts w:ascii="宋体" w:hAnsi="宋体"/>
          <w:b/>
          <w:bCs/>
          <w:sz w:val="36"/>
          <w:szCs w:val="36"/>
        </w:rPr>
      </w:pPr>
    </w:p>
    <w:p>
      <w:pPr>
        <w:spacing w:line="360" w:lineRule="auto"/>
        <w:jc w:val="center"/>
        <w:rPr>
          <w:rFonts w:ascii="宋体" w:hAnsi="宋体"/>
          <w:b/>
          <w:bCs/>
          <w:sz w:val="36"/>
          <w:szCs w:val="36"/>
        </w:rPr>
      </w:pPr>
    </w:p>
    <w:p>
      <w:pPr>
        <w:spacing w:line="360" w:lineRule="auto"/>
        <w:jc w:val="center"/>
        <w:rPr>
          <w:rFonts w:ascii="宋体" w:hAnsi="宋体"/>
          <w:b/>
          <w:bCs/>
          <w:sz w:val="36"/>
          <w:szCs w:val="36"/>
        </w:rPr>
      </w:pPr>
    </w:p>
    <w:p>
      <w:pPr>
        <w:spacing w:line="360" w:lineRule="auto"/>
        <w:jc w:val="center"/>
        <w:rPr>
          <w:rFonts w:ascii="宋体" w:hAnsi="宋体"/>
          <w:b/>
          <w:bCs/>
          <w:sz w:val="36"/>
          <w:szCs w:val="36"/>
        </w:rPr>
      </w:pPr>
    </w:p>
    <w:p>
      <w:pPr>
        <w:spacing w:line="360" w:lineRule="auto"/>
        <w:jc w:val="center"/>
        <w:rPr>
          <w:rFonts w:ascii="宋体" w:hAnsi="宋体"/>
          <w:b/>
          <w:bCs/>
          <w:sz w:val="36"/>
          <w:szCs w:val="36"/>
        </w:rPr>
      </w:pPr>
    </w:p>
    <w:p>
      <w:pPr>
        <w:spacing w:line="360" w:lineRule="auto"/>
        <w:rPr>
          <w:rFonts w:ascii="宋体" w:hAnsi="宋体"/>
          <w:b/>
          <w:bCs/>
          <w:sz w:val="36"/>
          <w:szCs w:val="36"/>
        </w:rPr>
      </w:pPr>
    </w:p>
    <w:p>
      <w:pPr>
        <w:spacing w:line="360" w:lineRule="auto"/>
        <w:jc w:val="center"/>
        <w:rPr>
          <w:rFonts w:hint="eastAsia" w:eastAsia="黑体"/>
          <w:sz w:val="48"/>
          <w:szCs w:val="48"/>
        </w:rPr>
      </w:pPr>
      <w:r>
        <w:rPr>
          <w:rFonts w:hint="eastAsia" w:eastAsia="黑体"/>
          <w:sz w:val="48"/>
          <w:szCs w:val="48"/>
        </w:rPr>
        <w:br w:type="page"/>
      </w:r>
    </w:p>
    <w:p>
      <w:pPr>
        <w:spacing w:line="360" w:lineRule="auto"/>
        <w:jc w:val="center"/>
        <w:rPr>
          <w:rFonts w:eastAsia="黑体"/>
          <w:sz w:val="48"/>
          <w:szCs w:val="48"/>
        </w:rPr>
      </w:pPr>
      <w:r>
        <w:rPr>
          <w:rFonts w:hint="eastAsia" w:eastAsia="黑体"/>
          <w:sz w:val="48"/>
          <w:szCs w:val="48"/>
        </w:rPr>
        <w:t>第二部分</w:t>
      </w:r>
    </w:p>
    <w:p>
      <w:pPr>
        <w:spacing w:line="360" w:lineRule="auto"/>
        <w:jc w:val="center"/>
        <w:rPr>
          <w:rFonts w:eastAsia="黑体"/>
          <w:sz w:val="48"/>
          <w:szCs w:val="48"/>
        </w:rPr>
      </w:pPr>
      <w:r>
        <w:rPr>
          <w:rFonts w:hint="eastAsia" w:eastAsia="黑体"/>
          <w:sz w:val="48"/>
          <w:szCs w:val="48"/>
        </w:rPr>
        <w:t>给排水工程技术要求</w:t>
      </w:r>
    </w:p>
    <w:p>
      <w:pPr>
        <w:pStyle w:val="21"/>
        <w:spacing w:line="380" w:lineRule="exact"/>
        <w:textAlignment w:val="baseline"/>
        <w:outlineLvl w:val="1"/>
        <w:rPr>
          <w:rFonts w:ascii="黑体" w:hAnsi="宋体" w:eastAsia="黑体"/>
          <w:b/>
          <w:sz w:val="36"/>
          <w:szCs w:val="36"/>
        </w:rPr>
      </w:pPr>
    </w:p>
    <w:p>
      <w:pPr>
        <w:pStyle w:val="21"/>
        <w:spacing w:line="380" w:lineRule="exact"/>
        <w:jc w:val="center"/>
        <w:textAlignment w:val="baseline"/>
        <w:outlineLvl w:val="1"/>
        <w:rPr>
          <w:rFonts w:ascii="黑体" w:hAnsi="宋体" w:eastAsia="黑体"/>
          <w:b/>
          <w:sz w:val="36"/>
          <w:szCs w:val="36"/>
        </w:rPr>
      </w:pPr>
      <w:r>
        <w:rPr>
          <w:rFonts w:hint="eastAsia" w:ascii="黑体" w:hAnsi="宋体" w:eastAsia="黑体"/>
          <w:b/>
          <w:sz w:val="36"/>
          <w:szCs w:val="36"/>
        </w:rPr>
        <w:t xml:space="preserve">第一章  </w:t>
      </w:r>
      <w:r>
        <w:rPr>
          <w:rFonts w:hint="eastAsia" w:hAnsi="宋体"/>
          <w:b/>
          <w:sz w:val="32"/>
        </w:rPr>
        <w:t xml:space="preserve">  </w:t>
      </w:r>
      <w:r>
        <w:rPr>
          <w:rFonts w:hint="eastAsia" w:ascii="黑体" w:hAnsi="宋体" w:eastAsia="黑体"/>
          <w:b/>
          <w:sz w:val="36"/>
          <w:szCs w:val="36"/>
        </w:rPr>
        <w:t>概况</w:t>
      </w:r>
    </w:p>
    <w:p>
      <w:pPr>
        <w:pStyle w:val="21"/>
        <w:spacing w:line="380" w:lineRule="exact"/>
        <w:jc w:val="center"/>
        <w:textAlignment w:val="baseline"/>
        <w:outlineLvl w:val="1"/>
        <w:rPr>
          <w:rFonts w:hAnsi="宋体"/>
          <w:b/>
          <w:sz w:val="32"/>
        </w:rPr>
      </w:pPr>
    </w:p>
    <w:p>
      <w:pPr>
        <w:pStyle w:val="21"/>
        <w:spacing w:line="380" w:lineRule="exact"/>
        <w:jc w:val="center"/>
        <w:textAlignment w:val="baseline"/>
        <w:outlineLvl w:val="1"/>
        <w:rPr>
          <w:rFonts w:hAnsi="宋体"/>
          <w:b/>
          <w:sz w:val="32"/>
        </w:rPr>
      </w:pPr>
      <w:r>
        <w:rPr>
          <w:rFonts w:hint="eastAsia" w:hAnsi="宋体"/>
          <w:b/>
          <w:sz w:val="32"/>
        </w:rPr>
        <w:t xml:space="preserve">第一节 </w:t>
      </w:r>
      <w:r>
        <w:rPr>
          <w:rFonts w:hAnsi="宋体"/>
          <w:b/>
          <w:sz w:val="32"/>
        </w:rPr>
        <w:t xml:space="preserve"> </w:t>
      </w:r>
      <w:r>
        <w:rPr>
          <w:rFonts w:hint="eastAsia" w:hAnsi="宋体"/>
          <w:b/>
          <w:sz w:val="32"/>
        </w:rPr>
        <w:t>材料与设备说明</w:t>
      </w:r>
    </w:p>
    <w:p>
      <w:pPr>
        <w:pStyle w:val="21"/>
        <w:spacing w:line="360" w:lineRule="auto"/>
        <w:rPr>
          <w:rFonts w:hAnsi="宋体"/>
          <w:b/>
          <w:sz w:val="32"/>
        </w:rPr>
      </w:pPr>
    </w:p>
    <w:p>
      <w:pPr>
        <w:pStyle w:val="21"/>
        <w:spacing w:line="360" w:lineRule="auto"/>
        <w:ind w:firstLine="482" w:firstLineChars="200"/>
        <w:rPr>
          <w:rFonts w:hAnsi="宋体"/>
          <w:b/>
          <w:sz w:val="24"/>
          <w:szCs w:val="24"/>
        </w:rPr>
      </w:pPr>
      <w:r>
        <w:rPr>
          <w:rFonts w:hint="eastAsia" w:hAnsi="宋体"/>
          <w:b/>
          <w:sz w:val="24"/>
          <w:szCs w:val="24"/>
        </w:rPr>
        <w:t>一、质量保证：</w:t>
      </w:r>
    </w:p>
    <w:p>
      <w:pPr>
        <w:pStyle w:val="21"/>
        <w:spacing w:line="360" w:lineRule="auto"/>
        <w:rPr>
          <w:rFonts w:hAnsi="宋体"/>
          <w:sz w:val="24"/>
          <w:szCs w:val="24"/>
        </w:rPr>
      </w:pPr>
      <w:r>
        <w:rPr>
          <w:rFonts w:hint="eastAsia" w:hAnsi="宋体"/>
          <w:sz w:val="24"/>
          <w:szCs w:val="24"/>
        </w:rPr>
        <w:t xml:space="preserve">    l、生产商的资格证明：</w:t>
      </w:r>
    </w:p>
    <w:p>
      <w:pPr>
        <w:pStyle w:val="21"/>
        <w:spacing w:line="360" w:lineRule="auto"/>
        <w:rPr>
          <w:rFonts w:hAnsi="宋体"/>
          <w:sz w:val="24"/>
          <w:szCs w:val="24"/>
        </w:rPr>
      </w:pPr>
      <w:r>
        <w:rPr>
          <w:rFonts w:hint="eastAsia" w:hAnsi="宋体"/>
          <w:b/>
          <w:sz w:val="24"/>
          <w:szCs w:val="24"/>
        </w:rPr>
        <w:t xml:space="preserve">    1）</w:t>
      </w:r>
      <w:r>
        <w:rPr>
          <w:rFonts w:hint="eastAsia" w:hAnsi="宋体"/>
          <w:sz w:val="24"/>
          <w:szCs w:val="24"/>
        </w:rPr>
        <w:t>承包商提供的所有材料和设备必须是符合国家、地方及行业的规范、标准及规程。</w:t>
      </w:r>
    </w:p>
    <w:p>
      <w:pPr>
        <w:autoSpaceDE w:val="0"/>
        <w:autoSpaceDN w:val="0"/>
        <w:adjustRightInd w:val="0"/>
        <w:spacing w:line="360" w:lineRule="auto"/>
        <w:rPr>
          <w:rFonts w:ascii="宋体" w:hAnsi="Times New Roman"/>
          <w:bCs/>
          <w:sz w:val="24"/>
          <w:szCs w:val="24"/>
          <w:lang w:val="zh-CN"/>
        </w:rPr>
      </w:pPr>
      <w:r>
        <w:rPr>
          <w:rFonts w:hint="eastAsia" w:ascii="宋体" w:cs="宋体"/>
          <w:bCs/>
          <w:sz w:val="24"/>
          <w:lang w:val="zh-CN"/>
        </w:rPr>
        <w:t>2）、</w:t>
      </w:r>
      <w:r>
        <w:rPr>
          <w:rFonts w:hint="eastAsia"/>
          <w:sz w:val="24"/>
        </w:rPr>
        <w:t>承包商须提交有关生产厂家有效的资质证明文件；</w:t>
      </w:r>
    </w:p>
    <w:p>
      <w:pPr>
        <w:autoSpaceDE w:val="0"/>
        <w:autoSpaceDN w:val="0"/>
        <w:adjustRightInd w:val="0"/>
        <w:spacing w:line="360" w:lineRule="auto"/>
        <w:rPr>
          <w:rFonts w:ascii="宋体"/>
          <w:bCs/>
          <w:sz w:val="24"/>
          <w:lang w:val="zh-CN"/>
        </w:rPr>
      </w:pPr>
      <w:r>
        <w:rPr>
          <w:rFonts w:hint="eastAsia" w:ascii="宋体" w:cs="宋体"/>
          <w:bCs/>
          <w:sz w:val="24"/>
          <w:lang w:val="zh-CN"/>
        </w:rPr>
        <w:t>3）、生产产家注册资金不少于技术要求所规定的范围；</w:t>
      </w:r>
    </w:p>
    <w:p>
      <w:pPr>
        <w:autoSpaceDE w:val="0"/>
        <w:autoSpaceDN w:val="0"/>
        <w:adjustRightInd w:val="0"/>
        <w:spacing w:line="360" w:lineRule="auto"/>
        <w:ind w:firstLine="480" w:firstLineChars="200"/>
        <w:rPr>
          <w:rFonts w:ascii="宋体" w:cs="宋体"/>
          <w:bCs/>
          <w:sz w:val="24"/>
          <w:lang w:val="zh-CN"/>
        </w:rPr>
      </w:pPr>
      <w:r>
        <w:rPr>
          <w:rFonts w:hint="eastAsia" w:ascii="宋体" w:cs="宋体"/>
          <w:bCs/>
          <w:sz w:val="24"/>
          <w:lang w:val="zh-CN"/>
        </w:rPr>
        <w:t>4）材料及设备品牌必须为质量好的国内知名品牌，</w:t>
      </w:r>
      <w:r>
        <w:rPr>
          <w:rFonts w:hint="eastAsia" w:cs="宋体"/>
          <w:sz w:val="24"/>
        </w:rPr>
        <w:t>要</w:t>
      </w:r>
      <w:r>
        <w:rPr>
          <w:rFonts w:hint="eastAsia" w:hAnsi="宋体" w:cs="宋体"/>
          <w:sz w:val="24"/>
        </w:rPr>
        <w:t>求同一种</w:t>
      </w:r>
      <w:r>
        <w:rPr>
          <w:rFonts w:hint="eastAsia" w:ascii="宋体" w:cs="宋体"/>
          <w:bCs/>
          <w:sz w:val="24"/>
          <w:lang w:val="zh-CN"/>
        </w:rPr>
        <w:t>设备及</w:t>
      </w:r>
      <w:r>
        <w:rPr>
          <w:rFonts w:hint="eastAsia" w:hAnsi="宋体" w:cs="宋体"/>
          <w:sz w:val="24"/>
        </w:rPr>
        <w:t>材料为同一品牌，同一生产厂家，且不得假冒或贴牌；</w:t>
      </w:r>
    </w:p>
    <w:p>
      <w:pPr>
        <w:spacing w:line="360" w:lineRule="auto"/>
        <w:ind w:left="142"/>
        <w:rPr>
          <w:rFonts w:ascii="Times New Roman" w:hAnsi="宋体"/>
          <w:b/>
          <w:bCs/>
          <w:sz w:val="24"/>
        </w:rPr>
      </w:pPr>
      <w:r>
        <w:rPr>
          <w:rFonts w:hint="eastAsia" w:ascii="宋体" w:cs="宋体"/>
          <w:sz w:val="24"/>
          <w:lang w:val="zh-CN"/>
        </w:rPr>
        <w:t xml:space="preserve">   5）</w:t>
      </w:r>
      <w:r>
        <w:rPr>
          <w:rFonts w:hint="eastAsia" w:ascii="宋体" w:cs="宋体"/>
          <w:bCs/>
          <w:sz w:val="24"/>
          <w:lang w:val="zh-CN"/>
        </w:rPr>
        <w:t>、生产厂家须具有近5年或以上生产同类产品的经验和业绩。</w:t>
      </w:r>
      <w:r>
        <w:rPr>
          <w:rFonts w:hint="eastAsia" w:hAnsi="宋体" w:cs="宋体"/>
          <w:bCs/>
          <w:sz w:val="24"/>
        </w:rPr>
        <w:t>制造商在深圳地区设有完善的售后服务机构。</w:t>
      </w:r>
    </w:p>
    <w:p>
      <w:pPr>
        <w:pStyle w:val="21"/>
        <w:spacing w:line="360" w:lineRule="auto"/>
        <w:rPr>
          <w:rFonts w:hAnsi="宋体"/>
          <w:sz w:val="24"/>
          <w:szCs w:val="24"/>
        </w:rPr>
      </w:pPr>
      <w:r>
        <w:rPr>
          <w:rFonts w:hint="eastAsia" w:hAnsi="宋体"/>
          <w:sz w:val="24"/>
          <w:szCs w:val="24"/>
        </w:rPr>
        <w:t xml:space="preserve">    2、适用的规范、标准和当地条例：</w:t>
      </w:r>
    </w:p>
    <w:p>
      <w:pPr>
        <w:pStyle w:val="21"/>
        <w:spacing w:line="360" w:lineRule="auto"/>
        <w:rPr>
          <w:rFonts w:hAnsi="宋体"/>
          <w:sz w:val="24"/>
          <w:szCs w:val="24"/>
        </w:rPr>
      </w:pPr>
      <w:r>
        <w:rPr>
          <w:rFonts w:hint="eastAsia" w:hAnsi="宋体"/>
          <w:sz w:val="24"/>
          <w:szCs w:val="24"/>
        </w:rPr>
        <w:t xml:space="preserve">    (1)本技术要求所列的有关规范、标准是指签定合同时所颁布的最新版本。若对某些要求未有列明，则有关的细节、材料、设备和工艺要求应参照相关的国内或国际标准，取较高者为依据；</w:t>
      </w:r>
    </w:p>
    <w:p>
      <w:pPr>
        <w:pStyle w:val="21"/>
        <w:spacing w:line="360" w:lineRule="auto"/>
        <w:rPr>
          <w:rFonts w:hAnsi="宋体"/>
          <w:sz w:val="24"/>
          <w:szCs w:val="24"/>
        </w:rPr>
      </w:pPr>
      <w:r>
        <w:rPr>
          <w:rFonts w:hint="eastAsia" w:hAnsi="宋体"/>
          <w:sz w:val="24"/>
          <w:szCs w:val="24"/>
        </w:rPr>
        <w:t xml:space="preserve">    (2)所有给水、排水系统材料、设备装置还应遵照当地的法规或条例。倘若当地法规或条例对系统的设计、材料或设备的选型产生影响时，虽然本技术要求或许没有特别指明，但所提供的系统、材料和设备必须符合有关条例的要求；</w:t>
      </w:r>
    </w:p>
    <w:p>
      <w:pPr>
        <w:pStyle w:val="21"/>
        <w:spacing w:line="360" w:lineRule="auto"/>
        <w:rPr>
          <w:rFonts w:hAnsi="宋体"/>
          <w:sz w:val="24"/>
          <w:szCs w:val="24"/>
        </w:rPr>
      </w:pPr>
      <w:r>
        <w:rPr>
          <w:rFonts w:hint="eastAsia" w:hAnsi="宋体"/>
          <w:sz w:val="24"/>
          <w:szCs w:val="24"/>
        </w:rPr>
        <w:t xml:space="preserve">    (3)承包商需负责向当地有关政府部门、机构和管理单位取得有关设备厂、装置所要的批准文件。一切有关费用需包括在标价内。若因有关设备、装置未能获得相应的批准。因此而引致工期延误、返工等，一切费用损失均由本承包商负责。</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二、设备的制造及种类：</w:t>
      </w:r>
    </w:p>
    <w:p>
      <w:pPr>
        <w:pStyle w:val="21"/>
        <w:spacing w:line="360" w:lineRule="auto"/>
        <w:rPr>
          <w:rFonts w:hAnsi="宋体"/>
          <w:sz w:val="24"/>
          <w:szCs w:val="24"/>
        </w:rPr>
      </w:pPr>
      <w:r>
        <w:rPr>
          <w:rFonts w:hint="eastAsia" w:hAnsi="宋体"/>
          <w:sz w:val="24"/>
          <w:szCs w:val="24"/>
        </w:rPr>
        <w:t xml:space="preserve">    1、本工程招标文件足可以让承包商进行投标以及提供其所建议的设备及安装方法，同时也能保证有关设备能完全符合其基本要求，并能配合建筑结构方面为本系统所作的安排。</w:t>
      </w:r>
    </w:p>
    <w:p>
      <w:pPr>
        <w:pStyle w:val="21"/>
        <w:spacing w:line="360" w:lineRule="auto"/>
        <w:rPr>
          <w:rFonts w:hAnsi="宋体"/>
          <w:sz w:val="24"/>
          <w:szCs w:val="24"/>
        </w:rPr>
      </w:pPr>
      <w:r>
        <w:rPr>
          <w:rFonts w:hint="eastAsia" w:hAnsi="宋体"/>
          <w:sz w:val="24"/>
          <w:szCs w:val="24"/>
        </w:rPr>
        <w:t xml:space="preserve">    2、在任何情况下，若业主认为所呈报的投标文件其内容违反本工程招标文件的基本要求和精神，又或企图修改其文件的条款、工程范围或其他要求时，业主保留其拒绝接受该类投标的权利。</w:t>
      </w:r>
    </w:p>
    <w:p>
      <w:pPr>
        <w:pStyle w:val="21"/>
        <w:spacing w:line="360" w:lineRule="auto"/>
        <w:rPr>
          <w:rFonts w:hAnsi="宋体"/>
          <w:sz w:val="24"/>
          <w:szCs w:val="24"/>
        </w:rPr>
      </w:pPr>
      <w:r>
        <w:rPr>
          <w:rFonts w:hint="eastAsia" w:hAnsi="宋体"/>
          <w:sz w:val="24"/>
          <w:szCs w:val="24"/>
        </w:rPr>
        <w:t xml:space="preserve">    3、承包商选择设备的制造和种类时，应确保提供适当的保养、维修和更换方面的措施并不会造成延误而导致对业主的不便或损失。</w:t>
      </w:r>
    </w:p>
    <w:p>
      <w:pPr>
        <w:pStyle w:val="21"/>
        <w:spacing w:line="360" w:lineRule="auto"/>
        <w:ind w:firstLine="420"/>
        <w:rPr>
          <w:rFonts w:hAnsi="宋体"/>
          <w:sz w:val="24"/>
          <w:szCs w:val="24"/>
        </w:rPr>
      </w:pPr>
      <w:r>
        <w:rPr>
          <w:rFonts w:hint="eastAsia" w:hAnsi="宋体"/>
          <w:sz w:val="24"/>
          <w:szCs w:val="24"/>
        </w:rPr>
        <w:t>4、所有选用的设备及材料不可含有石棉或石棉产品、或国家规定的不允许使用物质。</w:t>
      </w:r>
    </w:p>
    <w:p>
      <w:pPr>
        <w:pStyle w:val="21"/>
        <w:spacing w:line="360" w:lineRule="auto"/>
        <w:ind w:firstLine="420"/>
        <w:rPr>
          <w:rFonts w:hAnsi="宋体"/>
          <w:sz w:val="24"/>
          <w:szCs w:val="24"/>
        </w:rPr>
      </w:pPr>
    </w:p>
    <w:p>
      <w:pPr>
        <w:pStyle w:val="21"/>
        <w:spacing w:line="360" w:lineRule="auto"/>
        <w:rPr>
          <w:rFonts w:hAnsi="宋体"/>
          <w:b/>
          <w:sz w:val="24"/>
          <w:szCs w:val="24"/>
        </w:rPr>
      </w:pPr>
      <w:r>
        <w:rPr>
          <w:rFonts w:hint="eastAsia" w:hAnsi="宋体"/>
          <w:b/>
          <w:sz w:val="24"/>
          <w:szCs w:val="24"/>
        </w:rPr>
        <w:t xml:space="preserve">    三、保证：</w:t>
      </w:r>
    </w:p>
    <w:p>
      <w:pPr>
        <w:pStyle w:val="21"/>
        <w:spacing w:line="360" w:lineRule="auto"/>
        <w:rPr>
          <w:rFonts w:hAnsi="宋体"/>
          <w:sz w:val="24"/>
          <w:szCs w:val="24"/>
        </w:rPr>
      </w:pPr>
      <w:r>
        <w:rPr>
          <w:rFonts w:hint="eastAsia" w:hAnsi="宋体"/>
          <w:sz w:val="24"/>
          <w:szCs w:val="24"/>
        </w:rPr>
        <w:t xml:space="preserve">    1、承包商须保证整个给排水、消防系统的安装与运作均达到有关部门及规范的要求。</w:t>
      </w:r>
    </w:p>
    <w:p>
      <w:pPr>
        <w:pStyle w:val="21"/>
        <w:spacing w:line="360" w:lineRule="auto"/>
        <w:rPr>
          <w:rFonts w:hAnsi="宋体"/>
          <w:sz w:val="24"/>
          <w:szCs w:val="24"/>
        </w:rPr>
      </w:pPr>
      <w:r>
        <w:rPr>
          <w:rFonts w:hint="eastAsia" w:hAnsi="宋体"/>
          <w:sz w:val="24"/>
          <w:szCs w:val="24"/>
        </w:rPr>
        <w:t xml:space="preserve">    2、承包商须保证其所提供的设备或配件，无论是从本技术要求内拣选或由承包商自行选择，均能按要求在任何工作环境下正常操作。</w:t>
      </w:r>
    </w:p>
    <w:p>
      <w:pPr>
        <w:pStyle w:val="21"/>
        <w:spacing w:line="360" w:lineRule="auto"/>
        <w:rPr>
          <w:rFonts w:hAnsi="宋体"/>
          <w:sz w:val="24"/>
          <w:szCs w:val="24"/>
        </w:rPr>
      </w:pPr>
      <w:r>
        <w:rPr>
          <w:rFonts w:hint="eastAsia" w:hAnsi="宋体"/>
          <w:sz w:val="24"/>
          <w:szCs w:val="24"/>
        </w:rPr>
        <w:t xml:space="preserve">    3、保修期是自获得本合同开始直至竣工证书发出日起计两年为止。</w:t>
      </w:r>
    </w:p>
    <w:p>
      <w:pPr>
        <w:pStyle w:val="21"/>
        <w:spacing w:line="360" w:lineRule="auto"/>
        <w:rPr>
          <w:rFonts w:hAnsi="宋体"/>
          <w:sz w:val="24"/>
          <w:szCs w:val="24"/>
        </w:rPr>
      </w:pPr>
      <w:r>
        <w:rPr>
          <w:rFonts w:hint="eastAsia" w:hAnsi="宋体"/>
          <w:sz w:val="24"/>
          <w:szCs w:val="24"/>
        </w:rPr>
        <w:t xml:space="preserve">    4、承包商如认为本技术要求或图纸中的要求及说明，对其所保证或所负的责任并不适用或不一致，必须于投标时提出。</w:t>
      </w:r>
    </w:p>
    <w:p>
      <w:pPr>
        <w:pStyle w:val="21"/>
        <w:spacing w:line="360" w:lineRule="auto"/>
        <w:rPr>
          <w:rFonts w:hAnsi="宋体"/>
          <w:sz w:val="24"/>
          <w:szCs w:val="24"/>
        </w:rPr>
      </w:pPr>
      <w:r>
        <w:rPr>
          <w:rFonts w:hint="eastAsia" w:hAnsi="宋体"/>
          <w:sz w:val="24"/>
          <w:szCs w:val="24"/>
        </w:rPr>
        <w:t xml:space="preserve">    5、若在本工程合约保证期满后发现系统上存在潜在缺陷，而经业主和监理工程师认为乃由承包商的工料和施工方法不符合要求而引致的，承包商须负全部责任并免费更换或修正，而不能以保修期届满、维修保养证书已签发、发包方己接收、安装、工料或施工方案已获批准等理由借口推诿。 </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四、设备的更改：  </w:t>
      </w:r>
    </w:p>
    <w:p>
      <w:pPr>
        <w:pStyle w:val="21"/>
        <w:spacing w:line="360" w:lineRule="auto"/>
        <w:rPr>
          <w:rFonts w:hAnsi="宋体"/>
          <w:sz w:val="24"/>
          <w:szCs w:val="24"/>
        </w:rPr>
      </w:pPr>
      <w:r>
        <w:rPr>
          <w:rFonts w:hint="eastAsia" w:hAnsi="宋体"/>
          <w:sz w:val="24"/>
          <w:szCs w:val="24"/>
        </w:rPr>
        <w:t xml:space="preserve">    1、在本工程合同签定后，承包商不允许使用非投标时所建议的参考品牌外设备或材料。若在特殊情况下，承包商需更改某产品，则须以书面提交合理解释及证明文件。重新建议的设备或材料制造商，必须在本标书的接受生产商清单内挑选，并同时获得业主的书面批准方可使用，而且该设备和材料也必须达到本合约的技术要求。此外，如有额外费用或合约上的责任应由本承包商完全负责。  </w:t>
      </w:r>
    </w:p>
    <w:p>
      <w:pPr>
        <w:pStyle w:val="21"/>
        <w:spacing w:line="360" w:lineRule="auto"/>
        <w:rPr>
          <w:rFonts w:hAnsi="宋体"/>
          <w:sz w:val="24"/>
          <w:szCs w:val="24"/>
        </w:rPr>
      </w:pPr>
      <w:r>
        <w:rPr>
          <w:rFonts w:hint="eastAsia" w:hAnsi="宋体"/>
          <w:sz w:val="24"/>
          <w:szCs w:val="24"/>
        </w:rPr>
        <w:t xml:space="preserve">    2、承包商须明白任何更改合同上承诺的材料及设备通常会导致审批时间的延迟，本承包商需对有关的延误负全部责任。   </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五、拒绝不适合的材料：  </w:t>
      </w:r>
    </w:p>
    <w:p>
      <w:pPr>
        <w:pStyle w:val="21"/>
        <w:spacing w:line="360" w:lineRule="auto"/>
        <w:rPr>
          <w:rFonts w:hAnsi="宋体"/>
          <w:sz w:val="24"/>
          <w:szCs w:val="24"/>
        </w:rPr>
      </w:pPr>
      <w:r>
        <w:rPr>
          <w:rFonts w:hint="eastAsia" w:hAnsi="宋体"/>
          <w:sz w:val="24"/>
          <w:szCs w:val="24"/>
        </w:rPr>
        <w:t xml:space="preserve">    l、业主、监理工程师有权拒绝接受任何不符合本技术要求的设备、材料和工艺，并同时有权命令承包商将不符合要求的设备、材料拆除和更换，因此而导致工期延误及一切有关费用均由承包商负责。</w:t>
      </w:r>
    </w:p>
    <w:p>
      <w:pPr>
        <w:pStyle w:val="21"/>
        <w:spacing w:line="360" w:lineRule="auto"/>
        <w:rPr>
          <w:rFonts w:hAnsi="宋体"/>
          <w:sz w:val="24"/>
          <w:szCs w:val="24"/>
        </w:rPr>
      </w:pPr>
      <w:r>
        <w:rPr>
          <w:rFonts w:hint="eastAsia" w:hAnsi="宋体"/>
          <w:sz w:val="24"/>
          <w:szCs w:val="24"/>
        </w:rPr>
        <w:t xml:space="preserve">    2、不合格而被拒绝的材料或安装，不能够成为逾期完工的原因或借口。  </w:t>
      </w:r>
    </w:p>
    <w:p>
      <w:pPr>
        <w:pStyle w:val="21"/>
        <w:spacing w:line="360" w:lineRule="auto"/>
        <w:rPr>
          <w:rFonts w:hAnsi="宋体"/>
          <w:sz w:val="24"/>
          <w:szCs w:val="24"/>
        </w:rPr>
      </w:pPr>
    </w:p>
    <w:p>
      <w:pPr>
        <w:pStyle w:val="21"/>
        <w:spacing w:line="360" w:lineRule="auto"/>
        <w:ind w:firstLine="482" w:firstLineChars="200"/>
        <w:rPr>
          <w:rFonts w:hAnsi="宋体"/>
          <w:b/>
          <w:sz w:val="24"/>
          <w:szCs w:val="24"/>
        </w:rPr>
      </w:pPr>
      <w:r>
        <w:rPr>
          <w:rFonts w:hint="eastAsia" w:hAnsi="宋体"/>
          <w:b/>
          <w:sz w:val="24"/>
          <w:szCs w:val="24"/>
        </w:rPr>
        <w:t xml:space="preserve">六、包装和保护：    </w:t>
      </w:r>
    </w:p>
    <w:p>
      <w:pPr>
        <w:pStyle w:val="21"/>
        <w:spacing w:line="360" w:lineRule="auto"/>
        <w:rPr>
          <w:rFonts w:hAnsi="宋体"/>
          <w:sz w:val="24"/>
          <w:szCs w:val="24"/>
        </w:rPr>
      </w:pPr>
      <w:r>
        <w:rPr>
          <w:rFonts w:hint="eastAsia" w:hAnsi="宋体"/>
          <w:sz w:val="24"/>
          <w:szCs w:val="24"/>
        </w:rPr>
        <w:t xml:space="preserve">    l、所有运送到工地的设备和材料均应保持全新的状态，并应有适当的包装和保护以避免在运送和储存过程中造成损坏。  </w:t>
      </w:r>
    </w:p>
    <w:p>
      <w:pPr>
        <w:pStyle w:val="21"/>
        <w:spacing w:line="360" w:lineRule="auto"/>
        <w:rPr>
          <w:rFonts w:hAnsi="宋体"/>
          <w:sz w:val="24"/>
          <w:szCs w:val="24"/>
        </w:rPr>
      </w:pPr>
      <w:r>
        <w:rPr>
          <w:rFonts w:hint="eastAsia" w:hAnsi="宋体"/>
          <w:sz w:val="24"/>
          <w:szCs w:val="24"/>
        </w:rPr>
        <w:t xml:space="preserve">    2、所有运送过程中或于工地上受损毁的设备或材料，将被拒绝接受，承包商必须作无偿更换。因更换设备或材料而要求延长工期将不获接纳。   </w:t>
      </w:r>
    </w:p>
    <w:p>
      <w:pPr>
        <w:pStyle w:val="21"/>
        <w:spacing w:line="360" w:lineRule="auto"/>
        <w:rPr>
          <w:rFonts w:hAnsi="宋体"/>
          <w:sz w:val="24"/>
          <w:szCs w:val="24"/>
        </w:rPr>
      </w:pPr>
      <w:r>
        <w:rPr>
          <w:rFonts w:hint="eastAsia" w:hAnsi="宋体"/>
          <w:sz w:val="24"/>
          <w:szCs w:val="24"/>
        </w:rPr>
        <w:t xml:space="preserve">    3、承包商应该明白，工地现场可供存放物料的场地极为有限，因此承包商对大型设备的进场必须事先有详细的进场计划和安排并提出切实可行的运送方案。临时储存地一般业主是不会提供的。    </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七、对机件及设备的责任拥有权：</w:t>
      </w:r>
    </w:p>
    <w:p>
      <w:pPr>
        <w:pStyle w:val="21"/>
        <w:spacing w:line="360" w:lineRule="auto"/>
        <w:rPr>
          <w:rFonts w:hAnsi="宋体"/>
          <w:sz w:val="24"/>
          <w:szCs w:val="24"/>
        </w:rPr>
      </w:pPr>
      <w:r>
        <w:rPr>
          <w:rFonts w:hint="eastAsia" w:hAnsi="宋体"/>
          <w:sz w:val="24"/>
          <w:szCs w:val="24"/>
        </w:rPr>
        <w:t xml:space="preserve">    1、在本工程进行期间承包商须对任何材料、机件及设备的破损和遗失等负责。</w:t>
      </w:r>
    </w:p>
    <w:p>
      <w:pPr>
        <w:pStyle w:val="21"/>
        <w:spacing w:line="360" w:lineRule="auto"/>
        <w:rPr>
          <w:rFonts w:hAnsi="宋体"/>
          <w:sz w:val="24"/>
          <w:szCs w:val="24"/>
        </w:rPr>
      </w:pPr>
      <w:r>
        <w:rPr>
          <w:rFonts w:hint="eastAsia" w:hAnsi="宋体"/>
          <w:sz w:val="24"/>
          <w:szCs w:val="24"/>
        </w:rPr>
        <w:t xml:space="preserve">    2、在本工程合约范围内所提供的一切材料、机件和设备一经送抵工地后，其拥有权归承包商所有。</w:t>
      </w:r>
    </w:p>
    <w:p>
      <w:pPr>
        <w:pStyle w:val="21"/>
        <w:spacing w:line="360" w:lineRule="auto"/>
        <w:rPr>
          <w:rFonts w:hAnsi="宋体"/>
          <w:sz w:val="24"/>
          <w:szCs w:val="24"/>
        </w:rPr>
      </w:pPr>
      <w:r>
        <w:rPr>
          <w:rFonts w:hint="eastAsia" w:hAnsi="宋体"/>
          <w:sz w:val="24"/>
          <w:szCs w:val="24"/>
        </w:rPr>
        <w:t xml:space="preserve">    3、在验收合格移交业主后其拥有权归业主所有，在未得到业主的书面批准前，任何材料、机件或设备皆不得移离工地。</w:t>
      </w:r>
    </w:p>
    <w:p>
      <w:pPr>
        <w:pStyle w:val="21"/>
        <w:spacing w:line="360" w:lineRule="auto"/>
        <w:rPr>
          <w:rFonts w:hAnsi="宋体"/>
          <w:b/>
          <w:sz w:val="24"/>
          <w:szCs w:val="24"/>
        </w:rPr>
      </w:pPr>
    </w:p>
    <w:p>
      <w:pPr>
        <w:pStyle w:val="21"/>
        <w:spacing w:line="360" w:lineRule="auto"/>
        <w:ind w:firstLine="482" w:firstLineChars="200"/>
        <w:rPr>
          <w:rFonts w:hAnsi="宋体"/>
          <w:b/>
          <w:sz w:val="24"/>
          <w:szCs w:val="24"/>
        </w:rPr>
      </w:pPr>
      <w:r>
        <w:rPr>
          <w:rFonts w:hint="eastAsia" w:hAnsi="宋体"/>
          <w:b/>
          <w:sz w:val="24"/>
          <w:szCs w:val="24"/>
        </w:rPr>
        <w:t xml:space="preserve">八、装置的大小及运送通道：  </w:t>
      </w:r>
    </w:p>
    <w:p>
      <w:pPr>
        <w:pStyle w:val="21"/>
        <w:spacing w:line="360" w:lineRule="auto"/>
        <w:rPr>
          <w:rFonts w:hAnsi="宋体"/>
          <w:sz w:val="24"/>
          <w:szCs w:val="24"/>
        </w:rPr>
      </w:pPr>
      <w:r>
        <w:rPr>
          <w:rFonts w:hint="eastAsia" w:hAnsi="宋体"/>
          <w:sz w:val="24"/>
          <w:szCs w:val="24"/>
        </w:rPr>
        <w:t xml:space="preserve">    1、所提供的装置和设备的大小尺寸应能适合于所指定的安装空间，并应考虑提供足够的维修及保养所需的通道。承包商应负责土建协调所需检修门的位置及要求。</w:t>
      </w:r>
    </w:p>
    <w:p>
      <w:pPr>
        <w:pStyle w:val="21"/>
        <w:spacing w:line="360" w:lineRule="auto"/>
        <w:rPr>
          <w:rFonts w:hAnsi="宋体"/>
          <w:sz w:val="24"/>
          <w:szCs w:val="24"/>
        </w:rPr>
      </w:pPr>
      <w:r>
        <w:rPr>
          <w:rFonts w:hint="eastAsia" w:hAnsi="宋体"/>
          <w:sz w:val="24"/>
          <w:szCs w:val="24"/>
        </w:rPr>
        <w:t xml:space="preserve">    2、承包商应呈交所提供设备的施工图和具体尺寸要求。若所提供的设备其尺寸与图纸所示不符，因此而引起的一切改动和费用开支，均由承包商负责。对于大型重要设备的运送方案，应以图纸表示，并事先呈交监理工程师审查。</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九、样品审批：</w:t>
      </w:r>
    </w:p>
    <w:p>
      <w:pPr>
        <w:pStyle w:val="21"/>
        <w:spacing w:line="360" w:lineRule="auto"/>
        <w:rPr>
          <w:rFonts w:hAnsi="宋体"/>
          <w:sz w:val="24"/>
          <w:szCs w:val="24"/>
        </w:rPr>
      </w:pPr>
      <w:r>
        <w:rPr>
          <w:rFonts w:hint="eastAsia" w:hAnsi="宋体"/>
          <w:sz w:val="24"/>
          <w:szCs w:val="24"/>
        </w:rPr>
        <w:t xml:space="preserve">    l、承包商须于获得合约后或收到中标通知书后的两个星期内，提交一份具体并与投标报价相符的样品清单给业主、监理工程师审批。清单内应包括设备及材料的名称、制造商名称、产地、型号等。承包商应清楚了解，此清单获批准接受后，如业主、监理工程师认为有必要时，仍可要求承包商继续补充清单以外的样品。</w:t>
      </w:r>
    </w:p>
    <w:p>
      <w:pPr>
        <w:pStyle w:val="21"/>
        <w:spacing w:line="360" w:lineRule="auto"/>
        <w:rPr>
          <w:rFonts w:hAnsi="宋体"/>
          <w:sz w:val="24"/>
          <w:szCs w:val="24"/>
        </w:rPr>
      </w:pPr>
      <w:r>
        <w:rPr>
          <w:rFonts w:hint="eastAsia" w:hAnsi="宋体"/>
          <w:sz w:val="24"/>
          <w:szCs w:val="24"/>
        </w:rPr>
        <w:t xml:space="preserve">    2、送审的样品需用木板挂列提交，获批准后的样品板一式两份运送至工地，一份保留在工地现场的样品板房内，一份保留在业主办事处，作为日后对所用材料和工艺的核对、验收标准。所有不符合上述样品的材料或工艺要求将被拒绝接受，承包商需无条件将其更换，并且不能因此增加合约价格和作为拖期的理由。</w:t>
      </w:r>
    </w:p>
    <w:p>
      <w:pPr>
        <w:pStyle w:val="21"/>
        <w:spacing w:line="360" w:lineRule="auto"/>
        <w:rPr>
          <w:rFonts w:hAnsi="宋体"/>
          <w:sz w:val="24"/>
          <w:szCs w:val="24"/>
        </w:rPr>
      </w:pPr>
      <w:r>
        <w:rPr>
          <w:rFonts w:hint="eastAsia" w:hAnsi="宋体"/>
          <w:sz w:val="24"/>
          <w:szCs w:val="24"/>
        </w:rPr>
        <w:t xml:space="preserve">    3、在每个样品上应有中文说明的标签，清楚标注有关承包商的名称、合约名称、业主、监理工程师签字栏、制造商名称及将应用的系统等资料。</w:t>
      </w:r>
    </w:p>
    <w:p>
      <w:pPr>
        <w:pStyle w:val="21"/>
        <w:spacing w:line="360" w:lineRule="auto"/>
        <w:rPr>
          <w:rFonts w:hAnsi="宋体"/>
          <w:sz w:val="24"/>
          <w:szCs w:val="24"/>
        </w:rPr>
      </w:pPr>
      <w:r>
        <w:rPr>
          <w:rFonts w:hint="eastAsia" w:hAnsi="宋体"/>
          <w:sz w:val="24"/>
          <w:szCs w:val="24"/>
        </w:rPr>
        <w:t xml:space="preserve">    4、此外，承包商须提供足够的材料样品作实验之用。若有需要时将进行破坏性的实验，而此等样品和实验所需的有关费用应在本合约价格内。</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十、材料和工艺</w:t>
      </w:r>
    </w:p>
    <w:p>
      <w:pPr>
        <w:pStyle w:val="21"/>
        <w:spacing w:line="360" w:lineRule="auto"/>
        <w:rPr>
          <w:rFonts w:hAnsi="宋体"/>
          <w:sz w:val="24"/>
          <w:szCs w:val="24"/>
        </w:rPr>
      </w:pPr>
      <w:r>
        <w:rPr>
          <w:rFonts w:hint="eastAsia" w:hAnsi="宋体"/>
          <w:sz w:val="24"/>
          <w:szCs w:val="24"/>
        </w:rPr>
        <w:t xml:space="preserve">    1、承包商须根据工程进度的安排，按业主要求于指定位置，先进行样板安装。如样板安装因工艺或任何原因未能获得业主、监理工程师接受，本承包商须进行拆除、整改、重新安装等工作，直至获得业主接受，而相关的返工费用应由本承包商负责，也不得作为拖期的理由。</w:t>
      </w:r>
    </w:p>
    <w:p>
      <w:pPr>
        <w:pStyle w:val="21"/>
        <w:spacing w:line="360" w:lineRule="auto"/>
        <w:rPr>
          <w:rFonts w:hAnsi="宋体"/>
          <w:sz w:val="24"/>
          <w:szCs w:val="24"/>
        </w:rPr>
      </w:pPr>
      <w:r>
        <w:rPr>
          <w:rFonts w:hint="eastAsia" w:hAnsi="宋体"/>
          <w:sz w:val="24"/>
          <w:szCs w:val="24"/>
        </w:rPr>
        <w:t xml:space="preserve">    2、本技术要求所提及的任何设备、材料、制品或专利制品的商品名称、制造商或产品说明，其作用主要是设立质量标准的依据而不应理解为指定采用任何商品或限制商品竞争。</w:t>
      </w:r>
    </w:p>
    <w:p>
      <w:pPr>
        <w:pStyle w:val="21"/>
        <w:spacing w:line="360" w:lineRule="auto"/>
        <w:rPr>
          <w:rFonts w:hAnsi="宋体"/>
          <w:sz w:val="24"/>
          <w:szCs w:val="24"/>
        </w:rPr>
      </w:pPr>
      <w:r>
        <w:rPr>
          <w:rFonts w:hint="eastAsia" w:hAnsi="宋体"/>
          <w:sz w:val="24"/>
          <w:szCs w:val="24"/>
        </w:rPr>
        <w:t xml:space="preserve">    3、同一类的设备和材料采用同一制造商的产品。</w:t>
      </w:r>
    </w:p>
    <w:p>
      <w:pPr>
        <w:pStyle w:val="21"/>
        <w:spacing w:line="360" w:lineRule="auto"/>
        <w:rPr>
          <w:rFonts w:hAnsi="宋体"/>
          <w:sz w:val="24"/>
          <w:szCs w:val="24"/>
        </w:rPr>
      </w:pPr>
      <w:r>
        <w:rPr>
          <w:rFonts w:hint="eastAsia" w:hAnsi="宋体"/>
          <w:sz w:val="24"/>
          <w:szCs w:val="24"/>
        </w:rPr>
        <w:t xml:space="preserve">    4、除特别说明外，自行生产或本地制造的设备须获得业主、监理工程师批准方可采用。</w:t>
      </w:r>
    </w:p>
    <w:p>
      <w:pPr>
        <w:pStyle w:val="21"/>
        <w:spacing w:line="360" w:lineRule="auto"/>
        <w:rPr>
          <w:rFonts w:hAnsi="宋体"/>
          <w:sz w:val="24"/>
          <w:szCs w:val="24"/>
        </w:rPr>
      </w:pPr>
      <w:r>
        <w:rPr>
          <w:rFonts w:hint="eastAsia" w:hAnsi="宋体"/>
          <w:sz w:val="24"/>
          <w:szCs w:val="24"/>
        </w:rPr>
        <w:t xml:space="preserve">    5、同类型的设备装置的零部件及其组成零件应能互相调换。备用零件应该为原生产厂家提供的配套零件,采用同样的材料制造，并且适配于设备装置的同类部件。</w:t>
      </w:r>
    </w:p>
    <w:p>
      <w:pPr>
        <w:pStyle w:val="21"/>
        <w:spacing w:line="360" w:lineRule="auto"/>
        <w:rPr>
          <w:rFonts w:hAnsi="宋体"/>
          <w:sz w:val="24"/>
          <w:szCs w:val="24"/>
        </w:rPr>
      </w:pPr>
      <w:r>
        <w:rPr>
          <w:rFonts w:hint="eastAsia" w:hAnsi="宋体"/>
          <w:sz w:val="24"/>
          <w:szCs w:val="24"/>
        </w:rPr>
        <w:t xml:space="preserve">    6、所有转动的部件须在正常运转速度和最大负载情况下，都能达到静、动力学精确、平衡及温度要求，并不应产生显著的震动、声响和超温。若震动、声响温度超出可接受的规定标准，业主有权要求承包商更换并提供能够符合要求的产品，或在业主同意的情况下承包商需提供隔声器和消声器以满足噪声管制要求，有关费用由承包商承担。</w:t>
      </w:r>
    </w:p>
    <w:p>
      <w:pPr>
        <w:pStyle w:val="21"/>
        <w:spacing w:line="360" w:lineRule="auto"/>
        <w:rPr>
          <w:rFonts w:hAnsi="宋体"/>
          <w:sz w:val="24"/>
          <w:szCs w:val="24"/>
        </w:rPr>
      </w:pPr>
      <w:r>
        <w:rPr>
          <w:rFonts w:hint="eastAsia" w:hAnsi="宋体"/>
          <w:sz w:val="24"/>
          <w:szCs w:val="24"/>
        </w:rPr>
        <w:t xml:space="preserve">    7、所有受尘埃影响而会出现磨损或损坏的零件，均需完全设于防尘保护罩内。</w:t>
      </w:r>
    </w:p>
    <w:p>
      <w:pPr>
        <w:pStyle w:val="21"/>
        <w:spacing w:line="360" w:lineRule="auto"/>
        <w:rPr>
          <w:rFonts w:hAnsi="宋体"/>
          <w:sz w:val="24"/>
          <w:szCs w:val="24"/>
        </w:rPr>
      </w:pPr>
      <w:r>
        <w:rPr>
          <w:rFonts w:hint="eastAsia" w:hAnsi="宋体"/>
          <w:sz w:val="24"/>
          <w:szCs w:val="24"/>
        </w:rPr>
        <w:t xml:space="preserve">    8、本工程合同范围内的全部施工应由熟练的专业技师进行，并应遵照本说明书所述的工艺要求施工。业主、监理工程师有权要求承包商提交各专业技师的资历证明作审批。</w:t>
      </w:r>
    </w:p>
    <w:p>
      <w:pPr>
        <w:pStyle w:val="21"/>
        <w:spacing w:line="360" w:lineRule="auto"/>
        <w:ind w:firstLine="420"/>
        <w:rPr>
          <w:rFonts w:hAnsi="宋体"/>
          <w:sz w:val="24"/>
          <w:szCs w:val="24"/>
        </w:rPr>
      </w:pPr>
      <w:r>
        <w:rPr>
          <w:rFonts w:hint="eastAsia" w:hAnsi="宋体"/>
          <w:sz w:val="24"/>
          <w:szCs w:val="24"/>
        </w:rPr>
        <w:t>9、所有组件的安排均应达到方便维修保养及更换的原则。</w:t>
      </w:r>
    </w:p>
    <w:p>
      <w:pPr>
        <w:pStyle w:val="21"/>
        <w:spacing w:line="360" w:lineRule="auto"/>
        <w:ind w:firstLine="420"/>
        <w:rPr>
          <w:rFonts w:hAnsi="宋体"/>
          <w:sz w:val="24"/>
          <w:szCs w:val="24"/>
        </w:rPr>
      </w:pPr>
    </w:p>
    <w:p>
      <w:pPr>
        <w:pStyle w:val="21"/>
        <w:spacing w:line="360" w:lineRule="auto"/>
        <w:rPr>
          <w:rFonts w:hAnsi="宋体"/>
          <w:b/>
          <w:sz w:val="24"/>
          <w:szCs w:val="24"/>
        </w:rPr>
      </w:pPr>
      <w:r>
        <w:rPr>
          <w:rFonts w:hint="eastAsia" w:hAnsi="宋体"/>
          <w:b/>
          <w:sz w:val="24"/>
          <w:szCs w:val="24"/>
        </w:rPr>
        <w:t xml:space="preserve">    十一、噪音控制保证方案：</w:t>
      </w:r>
    </w:p>
    <w:p>
      <w:pPr>
        <w:pStyle w:val="21"/>
        <w:spacing w:line="360" w:lineRule="auto"/>
        <w:rPr>
          <w:rFonts w:hAnsi="宋体"/>
          <w:sz w:val="24"/>
          <w:szCs w:val="24"/>
        </w:rPr>
      </w:pPr>
      <w:r>
        <w:rPr>
          <w:rFonts w:hint="eastAsia" w:hAnsi="宋体"/>
          <w:sz w:val="24"/>
          <w:szCs w:val="24"/>
        </w:rPr>
        <w:t xml:space="preserve">    1、承包商须在施工方案中提出详尽噪音控制保证方案以说明如何实施噪音控制,以达到有关的要求。噪音控制保证方案须包括但不仅限于下列各项：</w:t>
      </w:r>
    </w:p>
    <w:p>
      <w:pPr>
        <w:pStyle w:val="21"/>
        <w:spacing w:line="360" w:lineRule="auto"/>
        <w:rPr>
          <w:rFonts w:hAnsi="宋体"/>
          <w:sz w:val="24"/>
          <w:szCs w:val="24"/>
        </w:rPr>
      </w:pPr>
      <w:r>
        <w:rPr>
          <w:rFonts w:hint="eastAsia" w:hAnsi="宋体"/>
          <w:sz w:val="24"/>
          <w:szCs w:val="24"/>
        </w:rPr>
        <w:t xml:space="preserve">    (1)对图纸作出检查以鉴定声源和传送途径，如止回阀、浮球阀、水泵及电动机、管道等；    </w:t>
      </w:r>
    </w:p>
    <w:p>
      <w:pPr>
        <w:pStyle w:val="21"/>
        <w:spacing w:line="360" w:lineRule="auto"/>
        <w:rPr>
          <w:rFonts w:hAnsi="宋体"/>
          <w:sz w:val="24"/>
          <w:szCs w:val="24"/>
        </w:rPr>
      </w:pPr>
      <w:r>
        <w:rPr>
          <w:rFonts w:hint="eastAsia" w:hAnsi="宋体"/>
          <w:sz w:val="24"/>
          <w:szCs w:val="24"/>
        </w:rPr>
        <w:t xml:space="preserve">    (2)对每一声源及其传送途径作出初步估算，并确定施工图及设备的设计和安排已具备消声和减震措施以达到噪音管制要求；   </w:t>
      </w:r>
    </w:p>
    <w:p>
      <w:pPr>
        <w:pStyle w:val="21"/>
        <w:spacing w:line="360" w:lineRule="auto"/>
        <w:rPr>
          <w:rFonts w:hAnsi="宋体"/>
          <w:sz w:val="24"/>
          <w:szCs w:val="24"/>
        </w:rPr>
      </w:pPr>
      <w:r>
        <w:rPr>
          <w:rFonts w:hint="eastAsia" w:hAnsi="宋体"/>
          <w:sz w:val="24"/>
          <w:szCs w:val="24"/>
        </w:rPr>
        <w:t xml:space="preserve">    (3)对工地土建施工情况进行检查以决定所采取隔震措施的程度和适当位置；</w:t>
      </w:r>
    </w:p>
    <w:p>
      <w:pPr>
        <w:pStyle w:val="21"/>
        <w:spacing w:line="360" w:lineRule="auto"/>
        <w:rPr>
          <w:rFonts w:hAnsi="宋体"/>
          <w:sz w:val="24"/>
          <w:szCs w:val="24"/>
        </w:rPr>
      </w:pPr>
      <w:r>
        <w:rPr>
          <w:rFonts w:hint="eastAsia" w:hAnsi="宋体"/>
          <w:sz w:val="24"/>
          <w:szCs w:val="24"/>
        </w:rPr>
        <w:t xml:space="preserve">    (4)对某些施工图上已提供消声及减震措施仍无法达到噪音控制要求的地方，提出设计及解决方法。如建议需对原措施作出改动，需把建议连同设计数据提交审批以证明整个系统能达到噪音控制要求。待建议获批准后。才可进行施工。  </w:t>
      </w:r>
    </w:p>
    <w:p>
      <w:pPr>
        <w:pStyle w:val="21"/>
        <w:spacing w:line="360" w:lineRule="auto"/>
        <w:rPr>
          <w:rFonts w:hAnsi="宋体"/>
          <w:sz w:val="24"/>
          <w:szCs w:val="24"/>
        </w:rPr>
      </w:pPr>
      <w:r>
        <w:rPr>
          <w:rFonts w:hint="eastAsia" w:hAnsi="宋体"/>
          <w:sz w:val="24"/>
          <w:szCs w:val="24"/>
        </w:rPr>
        <w:t xml:space="preserve">    2、进行系统试运行时，应同时于室内及室外进行声量的量度工作。提交测量报告以证明所采取的消声和减震措施均可接受。报告应包括环保局的批准证明。量度噪音的方法应按有关规定进行。 </w:t>
      </w:r>
    </w:p>
    <w:p>
      <w:pPr>
        <w:pStyle w:val="21"/>
        <w:spacing w:line="360" w:lineRule="auto"/>
        <w:rPr>
          <w:rFonts w:hAnsi="宋体"/>
          <w:sz w:val="24"/>
          <w:szCs w:val="24"/>
        </w:rPr>
      </w:pPr>
      <w:r>
        <w:rPr>
          <w:rFonts w:hint="eastAsia" w:hAnsi="宋体"/>
          <w:sz w:val="24"/>
          <w:szCs w:val="24"/>
        </w:rPr>
        <w:t xml:space="preserve">    3、若所安装的系统或消声和减震措施未能达到环保部门及本技术要求的规定，承包商需对系统或消声和减震措施进行整改工作以达到符合要求为止，有关费用由承包商负责。</w:t>
      </w:r>
    </w:p>
    <w:p>
      <w:pPr>
        <w:pStyle w:val="21"/>
        <w:spacing w:line="360" w:lineRule="auto"/>
        <w:rPr>
          <w:rFonts w:hAnsi="宋体"/>
          <w:sz w:val="24"/>
          <w:szCs w:val="24"/>
        </w:rPr>
      </w:pPr>
    </w:p>
    <w:p>
      <w:pPr>
        <w:pStyle w:val="21"/>
        <w:spacing w:line="360" w:lineRule="auto"/>
        <w:rPr>
          <w:rFonts w:hAnsi="宋体"/>
          <w:b/>
          <w:sz w:val="24"/>
          <w:szCs w:val="24"/>
        </w:rPr>
      </w:pPr>
      <w:r>
        <w:rPr>
          <w:rFonts w:hint="eastAsia" w:hAnsi="宋体"/>
          <w:b/>
          <w:sz w:val="24"/>
          <w:szCs w:val="24"/>
        </w:rPr>
        <w:t xml:space="preserve">   十二、节能要求:</w:t>
      </w:r>
    </w:p>
    <w:p>
      <w:pPr>
        <w:pStyle w:val="21"/>
        <w:spacing w:line="360" w:lineRule="auto"/>
        <w:rPr>
          <w:rFonts w:hAnsi="宋体"/>
          <w:sz w:val="24"/>
          <w:szCs w:val="24"/>
        </w:rPr>
      </w:pPr>
      <w:r>
        <w:rPr>
          <w:rFonts w:hint="eastAsia" w:hAnsi="宋体"/>
          <w:sz w:val="24"/>
          <w:szCs w:val="24"/>
        </w:rPr>
        <w:t>工程所有的材料、设备、设施必须符合建筑节能规范的要求,并能顺利通过节能、环保验收,施工期间必须本着节能、环保的原则制定详细的施工方案,经业主及监理工程师批准.</w:t>
      </w:r>
    </w:p>
    <w:p>
      <w:pPr>
        <w:pStyle w:val="21"/>
        <w:spacing w:line="360" w:lineRule="auto"/>
        <w:rPr>
          <w:rFonts w:hAnsi="宋体"/>
          <w:b/>
          <w:sz w:val="24"/>
          <w:szCs w:val="24"/>
        </w:rPr>
      </w:pPr>
      <w:r>
        <w:rPr>
          <w:rFonts w:hint="eastAsia" w:hAnsi="宋体"/>
          <w:b/>
          <w:sz w:val="24"/>
          <w:szCs w:val="24"/>
        </w:rPr>
        <w:t xml:space="preserve">   十三、安全设施    </w:t>
      </w:r>
    </w:p>
    <w:p>
      <w:pPr>
        <w:pStyle w:val="21"/>
        <w:spacing w:line="360" w:lineRule="auto"/>
        <w:rPr>
          <w:rFonts w:hAnsi="宋体"/>
          <w:sz w:val="24"/>
          <w:szCs w:val="24"/>
        </w:rPr>
      </w:pPr>
      <w:r>
        <w:rPr>
          <w:rFonts w:hint="eastAsia" w:hAnsi="宋体"/>
          <w:sz w:val="24"/>
          <w:szCs w:val="24"/>
        </w:rPr>
        <w:t xml:space="preserve">    l、承包商主要负责人依法对本单位的安全生产工作负全责。施工单位应当建立健全安全生产责任制度和安全生产教育培训制度，制定安全生产规章管理制度和操作规程，保证本单位安全生产所需资金的投入．对所承担的建设工程进行定期和专项安全检查，并作好安全检查记录。  </w:t>
      </w:r>
    </w:p>
    <w:p>
      <w:pPr>
        <w:pStyle w:val="21"/>
        <w:spacing w:line="360" w:lineRule="auto"/>
        <w:rPr>
          <w:rFonts w:hAnsi="宋体"/>
          <w:sz w:val="24"/>
          <w:szCs w:val="24"/>
        </w:rPr>
      </w:pPr>
      <w:r>
        <w:rPr>
          <w:rFonts w:hint="eastAsia" w:hAnsi="宋体"/>
          <w:sz w:val="24"/>
          <w:szCs w:val="24"/>
        </w:rPr>
        <w:t xml:space="preserve">    2、承包商应当根据本工程的特点、范围，对施工现场易发生重大事故的部位、环节进行监控，制定施工现场生产安全事故应急救援预案。   </w:t>
      </w:r>
    </w:p>
    <w:p>
      <w:pPr>
        <w:pStyle w:val="21"/>
        <w:spacing w:line="360" w:lineRule="auto"/>
        <w:rPr>
          <w:rFonts w:hAnsi="宋体"/>
          <w:sz w:val="24"/>
          <w:szCs w:val="24"/>
        </w:rPr>
      </w:pPr>
      <w:r>
        <w:rPr>
          <w:rFonts w:hint="eastAsia" w:hAnsi="宋体"/>
          <w:sz w:val="24"/>
          <w:szCs w:val="24"/>
        </w:rPr>
        <w:t xml:space="preserve">    3、临时安全设施：在施工期间，承包商须对其安装的任何转动机件提供足够的临时安全设施。同时若承包商的工作地方位于所负责的范围外时，所有会对其工作人员及其他行业人员构成危险的地台、墙壁及地面孔洞等都须提供足够的安全保护措施。</w:t>
      </w:r>
    </w:p>
    <w:p>
      <w:pPr>
        <w:pStyle w:val="21"/>
        <w:spacing w:line="360" w:lineRule="auto"/>
        <w:rPr>
          <w:rFonts w:hAnsi="宋体"/>
          <w:sz w:val="24"/>
          <w:szCs w:val="24"/>
        </w:rPr>
      </w:pPr>
      <w:r>
        <w:rPr>
          <w:rFonts w:hint="eastAsia" w:hAnsi="宋体"/>
          <w:sz w:val="24"/>
          <w:szCs w:val="24"/>
        </w:rPr>
        <w:t xml:space="preserve">    4、永久性的安全设施：承包商应对其安装的任何转动或摆动的机件，如电动机驱动轴等，提供防护网或可移动的防护罩。</w:t>
      </w:r>
    </w:p>
    <w:p>
      <w:pPr>
        <w:pStyle w:val="21"/>
        <w:spacing w:line="360" w:lineRule="auto"/>
        <w:rPr>
          <w:rFonts w:hAnsi="宋体"/>
          <w:sz w:val="24"/>
          <w:szCs w:val="24"/>
        </w:rPr>
      </w:pPr>
    </w:p>
    <w:p>
      <w:pPr>
        <w:pStyle w:val="21"/>
        <w:spacing w:line="360" w:lineRule="auto"/>
        <w:ind w:firstLine="482" w:firstLineChars="200"/>
        <w:rPr>
          <w:rFonts w:hAnsi="宋体"/>
          <w:b/>
          <w:sz w:val="24"/>
          <w:szCs w:val="24"/>
        </w:rPr>
      </w:pPr>
      <w:r>
        <w:rPr>
          <w:rFonts w:hint="eastAsia" w:hAnsi="宋体"/>
          <w:b/>
          <w:sz w:val="24"/>
          <w:szCs w:val="24"/>
        </w:rPr>
        <w:t>十四、文明施工：</w:t>
      </w:r>
    </w:p>
    <w:p>
      <w:pPr>
        <w:pStyle w:val="21"/>
        <w:spacing w:line="360" w:lineRule="auto"/>
        <w:rPr>
          <w:rFonts w:hAnsi="宋体"/>
          <w:sz w:val="24"/>
          <w:szCs w:val="24"/>
        </w:rPr>
      </w:pPr>
      <w:r>
        <w:rPr>
          <w:rFonts w:hint="eastAsia" w:hAnsi="宋体"/>
          <w:sz w:val="24"/>
          <w:szCs w:val="24"/>
        </w:rPr>
        <w:t xml:space="preserve">    施工期间不得将未经处理的污水直接排入市政雨、污水系统，更不能将污水排入市政雨水系统，材料堆放整齐划一，施工垃圾及时清理，做到工完场清，工人宿舍干净整洁，现场安全文明施工达到规定要求，并能通过安检站检查验收,保证场地有良好的卫生环境。</w:t>
      </w:r>
    </w:p>
    <w:p>
      <w:pPr>
        <w:pStyle w:val="21"/>
        <w:spacing w:line="360" w:lineRule="auto"/>
        <w:rPr>
          <w:rFonts w:hAnsi="宋体"/>
          <w:sz w:val="24"/>
          <w:szCs w:val="24"/>
        </w:rPr>
      </w:pPr>
    </w:p>
    <w:p>
      <w:pPr>
        <w:pStyle w:val="21"/>
        <w:spacing w:line="360" w:lineRule="auto"/>
        <w:jc w:val="center"/>
        <w:textAlignment w:val="baseline"/>
        <w:outlineLvl w:val="2"/>
        <w:rPr>
          <w:rFonts w:hAnsi="宋体"/>
          <w:b/>
          <w:sz w:val="32"/>
        </w:rPr>
      </w:pPr>
      <w:r>
        <w:rPr>
          <w:rFonts w:hint="eastAsia" w:hAnsi="宋体"/>
          <w:b/>
          <w:sz w:val="32"/>
        </w:rPr>
        <w:t>第三节  培训</w:t>
      </w:r>
    </w:p>
    <w:p>
      <w:pPr>
        <w:pStyle w:val="21"/>
        <w:spacing w:line="360" w:lineRule="auto"/>
        <w:rPr>
          <w:rFonts w:hAnsi="宋体"/>
        </w:rPr>
      </w:pPr>
    </w:p>
    <w:p>
      <w:pPr>
        <w:pStyle w:val="21"/>
        <w:spacing w:line="360" w:lineRule="auto"/>
        <w:ind w:firstLine="480" w:firstLineChars="200"/>
        <w:rPr>
          <w:rFonts w:hAnsi="宋体"/>
          <w:sz w:val="24"/>
          <w:szCs w:val="24"/>
        </w:rPr>
      </w:pPr>
      <w:r>
        <w:rPr>
          <w:rFonts w:hint="eastAsia" w:hAnsi="宋体"/>
          <w:sz w:val="24"/>
          <w:szCs w:val="24"/>
        </w:rPr>
        <w:t>一、承包商须提供所需的培训设施和课程，以确保业主的工程人员能对承包商所提供的系统、设备和装置的设计、日常的运作、故障和例行维护、事故的处理和解决方面等有全面性的认识和了解。</w:t>
      </w:r>
    </w:p>
    <w:p>
      <w:pPr>
        <w:pStyle w:val="21"/>
        <w:spacing w:line="360" w:lineRule="auto"/>
        <w:ind w:firstLine="240" w:firstLineChars="100"/>
        <w:rPr>
          <w:rFonts w:hAnsi="宋体"/>
          <w:sz w:val="24"/>
          <w:szCs w:val="24"/>
        </w:rPr>
      </w:pPr>
      <w:r>
        <w:rPr>
          <w:rFonts w:hint="eastAsia" w:hAnsi="宋体"/>
          <w:sz w:val="24"/>
          <w:szCs w:val="24"/>
        </w:rPr>
        <w:t xml:space="preserve">  二、承包商须预先编制一套详尽的培训计划，列出每项课程的大纲、培训导师资料及培训所需时间，提交业主、监理工程师审核。同时，承包商应按每项课程提出各接受培训的学员所应具备的资历要求，使有关的培训能收到预期的效果。</w:t>
      </w:r>
    </w:p>
    <w:p>
      <w:pPr>
        <w:pStyle w:val="21"/>
        <w:spacing w:line="360" w:lineRule="auto"/>
        <w:rPr>
          <w:rFonts w:hAnsi="宋体"/>
          <w:sz w:val="24"/>
          <w:szCs w:val="24"/>
        </w:rPr>
      </w:pPr>
      <w:r>
        <w:rPr>
          <w:rFonts w:hint="eastAsia" w:hAnsi="宋体"/>
          <w:sz w:val="24"/>
          <w:szCs w:val="24"/>
        </w:rPr>
        <w:t xml:space="preserve">    三、承包商须委派资深导师进行每项培训工作，培训需以普通话作讲授。所有导师的资历须先提交业主、监理工程师审核认可。</w:t>
      </w:r>
    </w:p>
    <w:p>
      <w:pPr>
        <w:pStyle w:val="21"/>
        <w:spacing w:line="360" w:lineRule="auto"/>
        <w:rPr>
          <w:rFonts w:hAnsi="宋体"/>
          <w:sz w:val="24"/>
          <w:szCs w:val="24"/>
        </w:rPr>
      </w:pPr>
      <w:r>
        <w:rPr>
          <w:rFonts w:hint="eastAsia" w:hAnsi="宋体"/>
          <w:sz w:val="24"/>
          <w:szCs w:val="24"/>
        </w:rPr>
        <w:t xml:space="preserve">    四、承包商应向受训学员提供并解释有关设计资料、文件、图纸等，以便使学员对整套系统的各个方面都能熟练掌握。</w:t>
      </w:r>
    </w:p>
    <w:p>
      <w:pPr>
        <w:pStyle w:val="21"/>
        <w:spacing w:line="360" w:lineRule="auto"/>
        <w:rPr>
          <w:rFonts w:hAnsi="宋体"/>
          <w:sz w:val="24"/>
          <w:szCs w:val="24"/>
        </w:rPr>
      </w:pPr>
      <w:r>
        <w:rPr>
          <w:rFonts w:hint="eastAsia" w:hAnsi="宋体"/>
          <w:sz w:val="24"/>
          <w:szCs w:val="24"/>
        </w:rPr>
        <w:t xml:space="preserve">    五、承包商经得业主同意可以利用已安装、测试和交工试运转的装置和设备对业主的工程人员进行培训。但承包商不得使用本合同内须提供的备用零部件进行培训之用。承包商应提供足够的材料、设备、样本、模型、设备内部透视资料的复印本、幻灯、影片以及其他种种需要的培训教材文件，以便培训工作的进行。培训课程完成后，有关装备和教材将为业主所有，以便日后业主自行对其他员工进行辅助性培训之用。所有教材文件须以中文说明。</w:t>
      </w:r>
    </w:p>
    <w:p>
      <w:pPr>
        <w:pStyle w:val="21"/>
        <w:spacing w:line="360" w:lineRule="auto"/>
        <w:rPr>
          <w:rFonts w:hAnsi="宋体"/>
          <w:sz w:val="24"/>
          <w:szCs w:val="24"/>
        </w:rPr>
      </w:pPr>
      <w:r>
        <w:rPr>
          <w:rFonts w:hint="eastAsia" w:hAnsi="宋体"/>
          <w:sz w:val="24"/>
          <w:szCs w:val="24"/>
        </w:rPr>
        <w:t xml:space="preserve">    六、上述培训所需的费用应包括在承包商的合同价内。但培训时产生的额外开支如受训学员的住宿和交通费之类，则不需包括在合同内。</w:t>
      </w:r>
    </w:p>
    <w:p>
      <w:pPr>
        <w:pStyle w:val="21"/>
        <w:spacing w:line="360" w:lineRule="auto"/>
        <w:rPr>
          <w:rFonts w:hAnsi="宋体"/>
          <w:sz w:val="24"/>
          <w:szCs w:val="24"/>
        </w:rPr>
      </w:pPr>
    </w:p>
    <w:p>
      <w:pPr>
        <w:pStyle w:val="21"/>
        <w:tabs>
          <w:tab w:val="left" w:pos="1275"/>
          <w:tab w:val="left" w:pos="1935"/>
        </w:tabs>
        <w:spacing w:line="360" w:lineRule="auto"/>
        <w:ind w:firstLine="2554" w:firstLineChars="795"/>
        <w:textAlignment w:val="baseline"/>
        <w:outlineLvl w:val="2"/>
        <w:rPr>
          <w:rFonts w:hAnsi="宋体"/>
          <w:b/>
          <w:sz w:val="32"/>
        </w:rPr>
      </w:pPr>
      <w:r>
        <w:rPr>
          <w:rFonts w:hint="eastAsia" w:hAnsi="宋体"/>
          <w:b/>
          <w:sz w:val="32"/>
        </w:rPr>
        <w:t>第四节  零备件及工具</w:t>
      </w:r>
    </w:p>
    <w:p>
      <w:pPr>
        <w:pStyle w:val="21"/>
        <w:spacing w:line="360" w:lineRule="auto"/>
        <w:ind w:left="660"/>
        <w:jc w:val="center"/>
        <w:rPr>
          <w:rFonts w:hAnsi="宋体"/>
          <w:b/>
          <w:sz w:val="24"/>
          <w:szCs w:val="24"/>
        </w:rPr>
      </w:pPr>
    </w:p>
    <w:p>
      <w:pPr>
        <w:pStyle w:val="21"/>
        <w:spacing w:line="360" w:lineRule="auto"/>
        <w:rPr>
          <w:rFonts w:hAnsi="宋体"/>
          <w:sz w:val="24"/>
          <w:szCs w:val="24"/>
        </w:rPr>
      </w:pPr>
      <w:r>
        <w:rPr>
          <w:rFonts w:hint="eastAsia" w:hAnsi="宋体"/>
          <w:sz w:val="24"/>
          <w:szCs w:val="24"/>
        </w:rPr>
        <w:t xml:space="preserve">    一、承包商须安排及准备不少于下列所要求的零备件和替换材料，以便于缺陷保修期开始前立即交付业主。以保证设备系统能在不影响性能和稳定性下圆满地连续运转。</w:t>
      </w:r>
    </w:p>
    <w:p>
      <w:pPr>
        <w:pStyle w:val="21"/>
        <w:spacing w:line="360" w:lineRule="auto"/>
        <w:rPr>
          <w:rFonts w:hAnsi="宋体"/>
          <w:sz w:val="24"/>
          <w:szCs w:val="24"/>
        </w:rPr>
      </w:pPr>
      <w:r>
        <w:rPr>
          <w:rFonts w:hint="eastAsia" w:hAnsi="宋体"/>
          <w:sz w:val="24"/>
          <w:szCs w:val="24"/>
        </w:rPr>
        <w:t xml:space="preserve">    1、在系统交收日提供以金属容器存储足够六个月使用的系统润滑油。</w:t>
      </w:r>
    </w:p>
    <w:p>
      <w:pPr>
        <w:pStyle w:val="21"/>
        <w:spacing w:line="360" w:lineRule="auto"/>
        <w:rPr>
          <w:rFonts w:hAnsi="宋体"/>
          <w:sz w:val="24"/>
          <w:szCs w:val="24"/>
        </w:rPr>
      </w:pPr>
      <w:r>
        <w:rPr>
          <w:rFonts w:hint="eastAsia" w:hAnsi="宋体"/>
          <w:sz w:val="24"/>
          <w:szCs w:val="24"/>
        </w:rPr>
        <w:t xml:space="preserve">    2、每种已安装的阀门的密封圈六套。</w:t>
      </w:r>
    </w:p>
    <w:p>
      <w:pPr>
        <w:pStyle w:val="21"/>
        <w:spacing w:line="360" w:lineRule="auto"/>
        <w:ind w:firstLine="240" w:firstLineChars="100"/>
        <w:rPr>
          <w:rFonts w:hAnsi="宋体"/>
          <w:sz w:val="24"/>
          <w:szCs w:val="24"/>
        </w:rPr>
      </w:pPr>
      <w:r>
        <w:rPr>
          <w:rFonts w:hint="eastAsia" w:hAnsi="宋体"/>
          <w:sz w:val="24"/>
          <w:szCs w:val="24"/>
        </w:rPr>
        <w:t xml:space="preserve">  3、适合使用于水泵、电动机、阀门和其他设备等螺丝的专用板手。</w:t>
      </w:r>
    </w:p>
    <w:p>
      <w:pPr>
        <w:pStyle w:val="21"/>
        <w:spacing w:line="360" w:lineRule="auto"/>
        <w:rPr>
          <w:rFonts w:hAnsi="宋体"/>
          <w:sz w:val="24"/>
          <w:szCs w:val="24"/>
        </w:rPr>
      </w:pPr>
      <w:r>
        <w:rPr>
          <w:rFonts w:hint="eastAsia" w:hAnsi="宋体"/>
          <w:sz w:val="24"/>
          <w:szCs w:val="24"/>
        </w:rPr>
        <w:t xml:space="preserve">    4、水泵的泵轴防漏密封各三套。 </w:t>
      </w:r>
    </w:p>
    <w:p>
      <w:pPr>
        <w:pStyle w:val="21"/>
        <w:spacing w:line="360" w:lineRule="auto"/>
        <w:rPr>
          <w:rFonts w:hAnsi="宋体"/>
          <w:sz w:val="24"/>
          <w:szCs w:val="24"/>
        </w:rPr>
      </w:pPr>
      <w:r>
        <w:rPr>
          <w:rFonts w:hint="eastAsia" w:hAnsi="宋体"/>
          <w:sz w:val="24"/>
          <w:szCs w:val="24"/>
        </w:rPr>
        <w:t xml:space="preserve">    二、除提供上述要求的零配件外，本承包商另须提供一份由承包商建议的零备件及工具表，详细列明其一般的更换频率，以供业主决定是否购买清单内的全部或部分零备件。承包商须预早提交以上的零备件及工具表供业主、监理工程师考虑，以便指示承包商安排把有关零备件、工具于缺陷保修期开始前送抵工地。</w:t>
      </w:r>
    </w:p>
    <w:p>
      <w:pPr>
        <w:pStyle w:val="21"/>
        <w:spacing w:line="360" w:lineRule="auto"/>
        <w:rPr>
          <w:rFonts w:hAnsi="宋体"/>
          <w:sz w:val="24"/>
          <w:szCs w:val="24"/>
        </w:rPr>
      </w:pPr>
      <w:r>
        <w:rPr>
          <w:rFonts w:hint="eastAsia" w:hAnsi="宋体"/>
          <w:sz w:val="24"/>
          <w:szCs w:val="24"/>
        </w:rPr>
        <w:t xml:space="preserve">    三、所有零备件及特别工具应与系统设备同期制造，并通过测试、调校、适当地包装和标签，并由本承包商负责运送到工地。</w:t>
      </w:r>
    </w:p>
    <w:p>
      <w:pPr>
        <w:pStyle w:val="21"/>
        <w:spacing w:line="360" w:lineRule="auto"/>
        <w:rPr>
          <w:rFonts w:hAnsi="宋体"/>
          <w:sz w:val="24"/>
          <w:szCs w:val="24"/>
        </w:rPr>
      </w:pPr>
      <w:r>
        <w:rPr>
          <w:rFonts w:hint="eastAsia" w:hAnsi="宋体"/>
          <w:sz w:val="24"/>
          <w:szCs w:val="24"/>
        </w:rPr>
        <w:t xml:space="preserve">    四、所有用作维修保养所需的特别工具和仪器需由承包商提供，并需安放于一带锁的专用工具箱内。</w:t>
      </w:r>
    </w:p>
    <w:p>
      <w:pPr>
        <w:pStyle w:val="21"/>
        <w:spacing w:line="360" w:lineRule="auto"/>
        <w:rPr>
          <w:rFonts w:hAnsi="宋体"/>
          <w:sz w:val="24"/>
          <w:szCs w:val="24"/>
        </w:rPr>
      </w:pPr>
    </w:p>
    <w:p>
      <w:pPr>
        <w:pStyle w:val="21"/>
        <w:spacing w:line="360" w:lineRule="auto"/>
        <w:jc w:val="center"/>
        <w:textAlignment w:val="baseline"/>
        <w:outlineLvl w:val="2"/>
        <w:rPr>
          <w:rFonts w:hAnsi="宋体"/>
          <w:b/>
          <w:sz w:val="32"/>
        </w:rPr>
      </w:pPr>
      <w:r>
        <w:rPr>
          <w:rFonts w:hint="eastAsia" w:hAnsi="宋体"/>
          <w:b/>
          <w:sz w:val="32"/>
        </w:rPr>
        <w:t>第五节  维修与保养</w:t>
      </w:r>
    </w:p>
    <w:p>
      <w:pPr>
        <w:pStyle w:val="21"/>
        <w:spacing w:line="360" w:lineRule="auto"/>
        <w:ind w:firstLine="420"/>
        <w:rPr>
          <w:rFonts w:hAnsi="宋体"/>
        </w:rPr>
      </w:pPr>
    </w:p>
    <w:p>
      <w:pPr>
        <w:pStyle w:val="21"/>
        <w:spacing w:line="360" w:lineRule="auto"/>
        <w:rPr>
          <w:rFonts w:hAnsi="宋体"/>
          <w:sz w:val="24"/>
          <w:szCs w:val="24"/>
        </w:rPr>
      </w:pPr>
      <w:r>
        <w:rPr>
          <w:rFonts w:hint="eastAsia" w:hAnsi="宋体"/>
          <w:sz w:val="24"/>
          <w:szCs w:val="24"/>
        </w:rPr>
        <w:t xml:space="preserve">  一、在缺陷保修期内，承包商须免费提供所需的工作人员和材料，做一般性的定期维修保养，同时提供日夜二十四小时随传随到的紧急维修服务。</w:t>
      </w:r>
    </w:p>
    <w:p>
      <w:pPr>
        <w:pStyle w:val="21"/>
        <w:spacing w:line="360" w:lineRule="auto"/>
        <w:rPr>
          <w:rFonts w:hAnsi="宋体"/>
          <w:sz w:val="24"/>
          <w:szCs w:val="24"/>
        </w:rPr>
      </w:pPr>
      <w:r>
        <w:rPr>
          <w:rFonts w:hint="eastAsia" w:hAnsi="宋体"/>
          <w:sz w:val="24"/>
          <w:szCs w:val="24"/>
        </w:rPr>
        <w:t xml:space="preserve">    二、为达到本工程合约的要求，维修保养工作应包括但不限于以下的项目：</w:t>
      </w:r>
    </w:p>
    <w:p>
      <w:pPr>
        <w:pStyle w:val="21"/>
        <w:spacing w:line="360" w:lineRule="auto"/>
        <w:rPr>
          <w:rFonts w:hAnsi="宋体"/>
          <w:sz w:val="24"/>
          <w:szCs w:val="24"/>
        </w:rPr>
      </w:pPr>
      <w:r>
        <w:rPr>
          <w:rFonts w:hint="eastAsia" w:hAnsi="宋体"/>
          <w:sz w:val="24"/>
          <w:szCs w:val="24"/>
        </w:rPr>
        <w:t xml:space="preserve">    1、为保持系统的正常运作，如有需要时须对设备的组件进行维修或更换工作，包括：提供材料、一般性消耗件、润滑油、清洁剂、过滤器及劳务等。</w:t>
      </w:r>
    </w:p>
    <w:p>
      <w:pPr>
        <w:pStyle w:val="21"/>
        <w:spacing w:line="360" w:lineRule="auto"/>
        <w:rPr>
          <w:rFonts w:hAnsi="宋体"/>
          <w:sz w:val="24"/>
          <w:szCs w:val="24"/>
        </w:rPr>
      </w:pPr>
      <w:r>
        <w:rPr>
          <w:rFonts w:hint="eastAsia" w:hAnsi="宋体"/>
          <w:sz w:val="24"/>
          <w:szCs w:val="24"/>
        </w:rPr>
        <w:t xml:space="preserve">    2、提供维修保养记录，并把记录书放置于适当地点，以便业主工作人员随时查阅有关设备的维修保养、组件更换次数、检查及维修日期、维修情况等记录。</w:t>
      </w:r>
    </w:p>
    <w:p>
      <w:pPr>
        <w:pStyle w:val="21"/>
        <w:spacing w:line="360" w:lineRule="auto"/>
        <w:rPr>
          <w:rFonts w:hAnsi="宋体"/>
          <w:sz w:val="24"/>
          <w:szCs w:val="24"/>
        </w:rPr>
      </w:pPr>
      <w:r>
        <w:rPr>
          <w:rFonts w:hint="eastAsia" w:hAnsi="宋体"/>
          <w:sz w:val="24"/>
          <w:szCs w:val="24"/>
        </w:rPr>
        <w:t xml:space="preserve">    三、按照以下要求安排定期维修及检查：   </w:t>
      </w:r>
    </w:p>
    <w:p>
      <w:pPr>
        <w:pStyle w:val="21"/>
        <w:spacing w:line="360" w:lineRule="auto"/>
        <w:rPr>
          <w:rFonts w:hAnsi="宋体"/>
          <w:sz w:val="24"/>
          <w:szCs w:val="24"/>
        </w:rPr>
      </w:pPr>
      <w:r>
        <w:rPr>
          <w:rFonts w:hint="eastAsia" w:hAnsi="宋体"/>
          <w:sz w:val="24"/>
          <w:szCs w:val="24"/>
        </w:rPr>
        <w:t xml:space="preserve">    1、每月的维修检查</w:t>
      </w:r>
    </w:p>
    <w:p>
      <w:pPr>
        <w:pStyle w:val="21"/>
        <w:spacing w:line="360" w:lineRule="auto"/>
        <w:rPr>
          <w:rFonts w:hAnsi="宋体"/>
          <w:sz w:val="24"/>
          <w:szCs w:val="24"/>
        </w:rPr>
      </w:pPr>
      <w:r>
        <w:rPr>
          <w:rFonts w:hint="eastAsia" w:hAnsi="宋体"/>
          <w:sz w:val="24"/>
          <w:szCs w:val="24"/>
        </w:rPr>
        <w:t xml:space="preserve">    (1)对所有系统设备进行例行检查；   </w:t>
      </w:r>
    </w:p>
    <w:p>
      <w:pPr>
        <w:pStyle w:val="21"/>
        <w:spacing w:line="360" w:lineRule="auto"/>
        <w:rPr>
          <w:rFonts w:hAnsi="宋体"/>
          <w:sz w:val="24"/>
          <w:szCs w:val="24"/>
        </w:rPr>
      </w:pPr>
      <w:r>
        <w:rPr>
          <w:rFonts w:hint="eastAsia" w:hAnsi="宋体"/>
          <w:sz w:val="24"/>
          <w:szCs w:val="24"/>
        </w:rPr>
        <w:t xml:space="preserve">    (2)清理所有格栅、格网及主要设备；  </w:t>
      </w:r>
    </w:p>
    <w:p>
      <w:pPr>
        <w:pStyle w:val="21"/>
        <w:spacing w:line="360" w:lineRule="auto"/>
        <w:rPr>
          <w:rFonts w:hAnsi="宋体"/>
          <w:sz w:val="24"/>
          <w:szCs w:val="24"/>
        </w:rPr>
      </w:pPr>
      <w:r>
        <w:rPr>
          <w:rFonts w:hint="eastAsia" w:hAnsi="宋体"/>
          <w:sz w:val="24"/>
          <w:szCs w:val="24"/>
        </w:rPr>
        <w:t xml:space="preserve">    (3)调试所有设备。   </w:t>
      </w:r>
    </w:p>
    <w:p>
      <w:pPr>
        <w:pStyle w:val="21"/>
        <w:spacing w:line="360" w:lineRule="auto"/>
        <w:rPr>
          <w:rFonts w:hAnsi="宋体"/>
          <w:sz w:val="24"/>
          <w:szCs w:val="24"/>
        </w:rPr>
      </w:pPr>
      <w:r>
        <w:rPr>
          <w:rFonts w:hint="eastAsia" w:hAnsi="宋体"/>
          <w:sz w:val="24"/>
          <w:szCs w:val="24"/>
        </w:rPr>
        <w:t xml:space="preserve">    2、每季的维修检查   </w:t>
      </w:r>
    </w:p>
    <w:p>
      <w:pPr>
        <w:pStyle w:val="21"/>
        <w:spacing w:line="360" w:lineRule="auto"/>
        <w:rPr>
          <w:rFonts w:hAnsi="宋体"/>
          <w:sz w:val="24"/>
          <w:szCs w:val="24"/>
        </w:rPr>
      </w:pPr>
      <w:r>
        <w:rPr>
          <w:rFonts w:hint="eastAsia" w:hAnsi="宋体"/>
          <w:sz w:val="24"/>
          <w:szCs w:val="24"/>
        </w:rPr>
        <w:t xml:space="preserve">    (1)清理及润滑有关的设备配件(如：轴承、驱动轴、螺丝、隔震器、传动装置和所有机械部件)；   </w:t>
      </w:r>
    </w:p>
    <w:p>
      <w:pPr>
        <w:pStyle w:val="21"/>
        <w:spacing w:line="360" w:lineRule="auto"/>
        <w:rPr>
          <w:rFonts w:hAnsi="宋体"/>
          <w:sz w:val="24"/>
          <w:szCs w:val="24"/>
        </w:rPr>
      </w:pPr>
      <w:r>
        <w:rPr>
          <w:rFonts w:hint="eastAsia" w:hAnsi="宋体"/>
          <w:sz w:val="24"/>
          <w:szCs w:val="24"/>
        </w:rPr>
        <w:t xml:space="preserve">    (2)清理所有设备外壳及电动机。   </w:t>
      </w:r>
    </w:p>
    <w:p>
      <w:pPr>
        <w:pStyle w:val="21"/>
        <w:spacing w:line="360" w:lineRule="auto"/>
        <w:rPr>
          <w:rFonts w:hAnsi="宋体"/>
          <w:sz w:val="24"/>
          <w:szCs w:val="24"/>
        </w:rPr>
      </w:pPr>
      <w:r>
        <w:rPr>
          <w:rFonts w:hint="eastAsia" w:hAnsi="宋体"/>
          <w:sz w:val="24"/>
          <w:szCs w:val="24"/>
        </w:rPr>
        <w:t xml:space="preserve">    3、半年维修检查    </w:t>
      </w:r>
    </w:p>
    <w:p>
      <w:pPr>
        <w:pStyle w:val="21"/>
        <w:spacing w:line="360" w:lineRule="auto"/>
        <w:rPr>
          <w:rFonts w:hAnsi="宋体"/>
          <w:sz w:val="24"/>
          <w:szCs w:val="24"/>
        </w:rPr>
      </w:pPr>
      <w:r>
        <w:rPr>
          <w:rFonts w:hint="eastAsia" w:hAnsi="宋体"/>
          <w:sz w:val="24"/>
          <w:szCs w:val="24"/>
        </w:rPr>
        <w:t xml:space="preserve">    (1)检查有关设备的联轴器和隔震器；   </w:t>
      </w:r>
    </w:p>
    <w:p>
      <w:pPr>
        <w:pStyle w:val="21"/>
        <w:spacing w:line="360" w:lineRule="auto"/>
        <w:rPr>
          <w:rFonts w:hAnsi="宋体"/>
          <w:sz w:val="24"/>
          <w:szCs w:val="24"/>
        </w:rPr>
      </w:pPr>
      <w:r>
        <w:rPr>
          <w:rFonts w:hint="eastAsia" w:hAnsi="宋体"/>
          <w:sz w:val="24"/>
          <w:szCs w:val="24"/>
        </w:rPr>
        <w:t xml:space="preserve">    (2)更换润滑油过滤器及润滑油；    </w:t>
      </w:r>
    </w:p>
    <w:p>
      <w:pPr>
        <w:pStyle w:val="21"/>
        <w:spacing w:line="360" w:lineRule="auto"/>
        <w:rPr>
          <w:rFonts w:hAnsi="宋体"/>
          <w:sz w:val="24"/>
          <w:szCs w:val="24"/>
        </w:rPr>
      </w:pPr>
      <w:r>
        <w:rPr>
          <w:rFonts w:hint="eastAsia" w:hAnsi="宋体"/>
          <w:sz w:val="24"/>
          <w:szCs w:val="24"/>
        </w:rPr>
        <w:t xml:space="preserve">    (3)检查水泵轴承调校及叶轮的固定安装和防漏密封件。   </w:t>
      </w:r>
    </w:p>
    <w:p>
      <w:pPr>
        <w:pStyle w:val="21"/>
        <w:spacing w:line="360" w:lineRule="auto"/>
        <w:rPr>
          <w:rFonts w:hAnsi="宋体"/>
          <w:sz w:val="24"/>
          <w:szCs w:val="24"/>
        </w:rPr>
      </w:pPr>
      <w:r>
        <w:rPr>
          <w:rFonts w:hint="eastAsia" w:hAnsi="宋体"/>
          <w:sz w:val="24"/>
          <w:szCs w:val="24"/>
        </w:rPr>
        <w:t xml:space="preserve">    4、二年维修检查</w:t>
      </w:r>
    </w:p>
    <w:p>
      <w:pPr>
        <w:pStyle w:val="21"/>
        <w:spacing w:line="360" w:lineRule="auto"/>
        <w:rPr>
          <w:rFonts w:hAnsi="宋体"/>
          <w:sz w:val="24"/>
          <w:szCs w:val="24"/>
        </w:rPr>
      </w:pPr>
      <w:r>
        <w:rPr>
          <w:rFonts w:hint="eastAsia" w:hAnsi="宋体"/>
          <w:sz w:val="24"/>
          <w:szCs w:val="24"/>
        </w:rPr>
        <w:t xml:space="preserve">    (1)检查及调校所有系统、设备以保证系统能按照制造商的标准进行；    </w:t>
      </w:r>
    </w:p>
    <w:p>
      <w:pPr>
        <w:pStyle w:val="21"/>
        <w:spacing w:line="360" w:lineRule="auto"/>
        <w:rPr>
          <w:sz w:val="24"/>
          <w:szCs w:val="24"/>
        </w:rPr>
      </w:pPr>
      <w:r>
        <w:rPr>
          <w:rFonts w:hint="eastAsia"/>
          <w:sz w:val="24"/>
          <w:szCs w:val="24"/>
        </w:rPr>
        <w:t xml:space="preserve">    (2)检查及调校所有用于系统平衡的阀门。</w:t>
      </w:r>
    </w:p>
    <w:p>
      <w:pPr>
        <w:pStyle w:val="21"/>
        <w:spacing w:line="360" w:lineRule="auto"/>
        <w:rPr>
          <w:sz w:val="24"/>
          <w:szCs w:val="24"/>
        </w:rPr>
      </w:pPr>
      <w:r>
        <w:rPr>
          <w:rFonts w:hint="eastAsia"/>
          <w:sz w:val="24"/>
          <w:szCs w:val="24"/>
        </w:rPr>
        <w:t xml:space="preserve">    四、在收到紧急事故召唤时，承包商须按正常工作时间及非工作时间分别于两小时及六小时之内到场进行抢修工作。   </w:t>
      </w:r>
    </w:p>
    <w:p>
      <w:pPr>
        <w:pStyle w:val="21"/>
        <w:spacing w:line="360" w:lineRule="auto"/>
        <w:rPr>
          <w:sz w:val="24"/>
          <w:szCs w:val="24"/>
        </w:rPr>
      </w:pPr>
      <w:r>
        <w:rPr>
          <w:rFonts w:hint="eastAsia"/>
          <w:sz w:val="24"/>
          <w:szCs w:val="24"/>
        </w:rPr>
        <w:t xml:space="preserve">    五、承包商应于维修保养期间对系统和设备作出适当保护，并在缺陷保修期满前，按需要将有关设备装置翻新上漆，使设备装置看似新装一样才作正式完成本合同责任。</w:t>
      </w:r>
    </w:p>
    <w:p>
      <w:pPr>
        <w:pStyle w:val="21"/>
        <w:spacing w:line="360" w:lineRule="auto"/>
        <w:rPr>
          <w:sz w:val="24"/>
          <w:szCs w:val="24"/>
        </w:rPr>
      </w:pPr>
      <w:r>
        <w:rPr>
          <w:rFonts w:hint="eastAsia"/>
          <w:sz w:val="24"/>
          <w:szCs w:val="24"/>
        </w:rPr>
        <w:t xml:space="preserve">    六、操作和保养手册</w:t>
      </w:r>
    </w:p>
    <w:p>
      <w:pPr>
        <w:pStyle w:val="21"/>
        <w:spacing w:line="360" w:lineRule="auto"/>
        <w:rPr>
          <w:sz w:val="24"/>
          <w:szCs w:val="24"/>
        </w:rPr>
      </w:pPr>
      <w:r>
        <w:rPr>
          <w:rFonts w:hint="eastAsia"/>
          <w:sz w:val="24"/>
          <w:szCs w:val="24"/>
        </w:rPr>
        <w:t xml:space="preserve">    1、承包商须于工地测试和运行进行前一个月，预先草拟一份包含临时图纸、电脑软件表和维修保养程序等操作和维修保养手册草稿(后面简称“手册”)，以便业主的工程人员能预先对有关装置有所认识。而有关手册草稿除了一些资料因有关工程尚未完成而需以临时插页暂代外，其格式安排应与日后正式手册的编排相同。</w:t>
      </w:r>
    </w:p>
    <w:p>
      <w:pPr>
        <w:pStyle w:val="21"/>
        <w:spacing w:line="360" w:lineRule="auto"/>
        <w:rPr>
          <w:sz w:val="24"/>
          <w:szCs w:val="24"/>
        </w:rPr>
      </w:pPr>
      <w:r>
        <w:rPr>
          <w:rFonts w:hint="eastAsia"/>
          <w:sz w:val="24"/>
          <w:szCs w:val="24"/>
        </w:rPr>
        <w:t xml:space="preserve">    2、经批准的正式手册必须于缺陷保修期开始的六个星期内备妥及呈交，呈交数量至少三套。手册内所有资料应以中文编印，每一系统应独立成册，以减少每册的厚度，不同的内容或章节应以塑胶制索引标签分隔并附有清楚的目录指示，以便使用者翻查参考。</w:t>
      </w:r>
    </w:p>
    <w:p>
      <w:pPr>
        <w:pStyle w:val="21"/>
        <w:spacing w:line="360" w:lineRule="auto"/>
        <w:rPr>
          <w:sz w:val="24"/>
          <w:szCs w:val="24"/>
        </w:rPr>
      </w:pPr>
      <w:r>
        <w:rPr>
          <w:rFonts w:hint="eastAsia"/>
          <w:sz w:val="24"/>
          <w:szCs w:val="24"/>
        </w:rPr>
        <w:t xml:space="preserve">    3、设备的操作控制须采用“控制示意图”以清楚而简单的形式来表示，并以“控制连接图”方式表示装置内部各部件及电线的位置、安排和联接的资料。所有的控制图须包括或另提供详细的图例说明，以识别各部件和接点的位置并标注其特别功能、特征和用途，例如额定电流量、线圈电压、调节定位参数等。</w:t>
      </w:r>
    </w:p>
    <w:p>
      <w:pPr>
        <w:pStyle w:val="21"/>
        <w:spacing w:line="360" w:lineRule="auto"/>
        <w:rPr>
          <w:sz w:val="24"/>
          <w:szCs w:val="24"/>
        </w:rPr>
      </w:pPr>
      <w:r>
        <w:rPr>
          <w:rFonts w:hint="eastAsia"/>
          <w:sz w:val="24"/>
          <w:szCs w:val="24"/>
        </w:rPr>
        <w:t xml:space="preserve">    4、手册须同时附有本项目的“竣工图”目录，并按所属系统分别列于有关系统的章节内。如某一图纸同时适用于多个系统时，则需在每个有关系统章节内同时列出。</w:t>
      </w:r>
    </w:p>
    <w:p>
      <w:pPr>
        <w:pStyle w:val="21"/>
        <w:spacing w:line="360" w:lineRule="auto"/>
        <w:rPr>
          <w:sz w:val="24"/>
          <w:szCs w:val="24"/>
        </w:rPr>
      </w:pPr>
      <w:r>
        <w:rPr>
          <w:rFonts w:hint="eastAsia"/>
          <w:sz w:val="24"/>
          <w:szCs w:val="24"/>
        </w:rPr>
        <w:t xml:space="preserve">    5、内容：需包括手册的主旨并简要说明手册的内容和章节。</w:t>
      </w:r>
    </w:p>
    <w:p>
      <w:pPr>
        <w:pStyle w:val="21"/>
        <w:spacing w:line="360" w:lineRule="auto"/>
        <w:rPr>
          <w:sz w:val="24"/>
          <w:szCs w:val="24"/>
        </w:rPr>
      </w:pPr>
      <w:r>
        <w:rPr>
          <w:rFonts w:hint="eastAsia"/>
          <w:sz w:val="24"/>
          <w:szCs w:val="24"/>
        </w:rPr>
        <w:t xml:space="preserve">    (1)系统说明：</w:t>
      </w:r>
    </w:p>
    <w:p>
      <w:pPr>
        <w:pStyle w:val="21"/>
        <w:spacing w:line="360" w:lineRule="auto"/>
        <w:rPr>
          <w:sz w:val="24"/>
          <w:szCs w:val="24"/>
        </w:rPr>
      </w:pPr>
      <w:r>
        <w:rPr>
          <w:rFonts w:hint="eastAsia"/>
          <w:sz w:val="24"/>
          <w:szCs w:val="24"/>
        </w:rPr>
        <w:t xml:space="preserve">    ①分别详尽介绍每个独立系统如何调节、控制、监察和调校；</w:t>
      </w:r>
    </w:p>
    <w:p>
      <w:pPr>
        <w:pStyle w:val="21"/>
        <w:spacing w:line="360" w:lineRule="auto"/>
        <w:rPr>
          <w:sz w:val="24"/>
          <w:szCs w:val="24"/>
        </w:rPr>
      </w:pPr>
      <w:r>
        <w:rPr>
          <w:rFonts w:hint="eastAsia"/>
          <w:sz w:val="24"/>
          <w:szCs w:val="24"/>
        </w:rPr>
        <w:t xml:space="preserve">    ②介绍各系统的主要装置和部件的大小规格和功能；</w:t>
      </w:r>
    </w:p>
    <w:p>
      <w:pPr>
        <w:pStyle w:val="21"/>
        <w:spacing w:line="360" w:lineRule="auto"/>
        <w:rPr>
          <w:sz w:val="24"/>
          <w:szCs w:val="24"/>
        </w:rPr>
      </w:pPr>
      <w:r>
        <w:rPr>
          <w:rFonts w:hint="eastAsia"/>
          <w:sz w:val="24"/>
          <w:szCs w:val="24"/>
        </w:rPr>
        <w:t xml:space="preserve">    ③供每个系统的可调节部件和保护装置的最初设定参数；</w:t>
      </w:r>
    </w:p>
    <w:p>
      <w:pPr>
        <w:pStyle w:val="21"/>
        <w:spacing w:line="360" w:lineRule="auto"/>
        <w:rPr>
          <w:sz w:val="24"/>
          <w:szCs w:val="24"/>
        </w:rPr>
      </w:pPr>
      <w:r>
        <w:rPr>
          <w:rFonts w:hint="eastAsia"/>
          <w:sz w:val="24"/>
          <w:szCs w:val="24"/>
        </w:rPr>
        <w:t xml:space="preserve">    ④系统设备的正常运作程序和在不正常情况下维持部分部件运作的应变程序。</w:t>
      </w:r>
    </w:p>
    <w:p>
      <w:pPr>
        <w:pStyle w:val="21"/>
        <w:spacing w:line="360" w:lineRule="auto"/>
        <w:ind w:firstLine="240" w:firstLineChars="100"/>
        <w:rPr>
          <w:sz w:val="24"/>
          <w:szCs w:val="24"/>
        </w:rPr>
      </w:pPr>
      <w:r>
        <w:rPr>
          <w:rFonts w:hint="eastAsia"/>
          <w:sz w:val="24"/>
          <w:szCs w:val="24"/>
        </w:rPr>
        <w:t xml:space="preserve">  (2)技术说明：</w:t>
      </w:r>
    </w:p>
    <w:p>
      <w:pPr>
        <w:pStyle w:val="21"/>
        <w:spacing w:line="360" w:lineRule="auto"/>
        <w:ind w:firstLine="240" w:firstLineChars="100"/>
        <w:rPr>
          <w:sz w:val="24"/>
          <w:szCs w:val="24"/>
        </w:rPr>
      </w:pPr>
      <w:r>
        <w:rPr>
          <w:rFonts w:hint="eastAsia"/>
          <w:sz w:val="24"/>
          <w:szCs w:val="24"/>
        </w:rPr>
        <w:t xml:space="preserve">  ①所有系统和设备的技术资料介绍，包括每块电路板的电路图，以及其所有电子元件的布置图；</w:t>
      </w:r>
    </w:p>
    <w:p>
      <w:pPr>
        <w:pStyle w:val="21"/>
        <w:spacing w:line="360" w:lineRule="auto"/>
        <w:ind w:firstLine="480" w:firstLineChars="200"/>
        <w:rPr>
          <w:sz w:val="24"/>
          <w:szCs w:val="24"/>
        </w:rPr>
      </w:pPr>
      <w:r>
        <w:rPr>
          <w:rFonts w:hint="eastAsia"/>
          <w:sz w:val="24"/>
          <w:szCs w:val="24"/>
        </w:rPr>
        <w:t>②管道和接线图；</w:t>
      </w:r>
    </w:p>
    <w:p>
      <w:pPr>
        <w:pStyle w:val="21"/>
        <w:spacing w:line="360" w:lineRule="auto"/>
        <w:ind w:firstLine="480" w:firstLineChars="200"/>
        <w:rPr>
          <w:sz w:val="24"/>
          <w:szCs w:val="24"/>
        </w:rPr>
      </w:pPr>
      <w:r>
        <w:rPr>
          <w:rFonts w:hint="eastAsia"/>
          <w:sz w:val="24"/>
          <w:szCs w:val="24"/>
        </w:rPr>
        <w:t>③所有专利设备需附有原厂所发的制造图纸，如有需要须同时提供部件剖析图以显示各部件的位置；</w:t>
      </w:r>
    </w:p>
    <w:p>
      <w:pPr>
        <w:pStyle w:val="21"/>
        <w:spacing w:line="360" w:lineRule="auto"/>
        <w:ind w:firstLine="410" w:firstLineChars="171"/>
        <w:rPr>
          <w:sz w:val="24"/>
          <w:szCs w:val="24"/>
        </w:rPr>
      </w:pPr>
      <w:r>
        <w:rPr>
          <w:rFonts w:hint="eastAsia"/>
          <w:sz w:val="24"/>
          <w:szCs w:val="24"/>
        </w:rPr>
        <w:t xml:space="preserve"> ④设备表：列出生产制造商、型号、系列编号、经调试运行后所核定的设定参数，提供所有设备的产品说明书以及性能指标表等资料。</w:t>
      </w:r>
    </w:p>
    <w:p>
      <w:pPr>
        <w:pStyle w:val="21"/>
        <w:spacing w:line="360" w:lineRule="auto"/>
        <w:ind w:firstLine="480" w:firstLineChars="200"/>
        <w:rPr>
          <w:sz w:val="24"/>
          <w:szCs w:val="24"/>
        </w:rPr>
      </w:pPr>
      <w:r>
        <w:rPr>
          <w:rFonts w:hint="eastAsia"/>
          <w:sz w:val="24"/>
          <w:szCs w:val="24"/>
        </w:rPr>
        <w:t>(3)维修保养：</w:t>
      </w:r>
    </w:p>
    <w:p>
      <w:pPr>
        <w:pStyle w:val="21"/>
        <w:spacing w:line="360" w:lineRule="auto"/>
        <w:ind w:firstLine="480" w:firstLineChars="200"/>
        <w:rPr>
          <w:sz w:val="24"/>
          <w:szCs w:val="24"/>
        </w:rPr>
      </w:pPr>
      <w:r>
        <w:rPr>
          <w:rFonts w:hint="eastAsia"/>
          <w:sz w:val="24"/>
          <w:szCs w:val="24"/>
        </w:rPr>
        <w:t>①所有系统的检查手册；</w:t>
      </w:r>
    </w:p>
    <w:p>
      <w:pPr>
        <w:spacing w:line="360" w:lineRule="auto"/>
        <w:ind w:firstLine="480" w:firstLineChars="200"/>
        <w:rPr>
          <w:sz w:val="24"/>
          <w:szCs w:val="24"/>
        </w:rPr>
      </w:pPr>
      <w:r>
        <w:rPr>
          <w:rFonts w:hint="eastAsia"/>
          <w:sz w:val="24"/>
        </w:rPr>
        <w:t>②所有系统的运作手册；</w:t>
      </w:r>
    </w:p>
    <w:p>
      <w:pPr>
        <w:spacing w:line="360" w:lineRule="auto"/>
        <w:rPr>
          <w:sz w:val="24"/>
        </w:rPr>
      </w:pPr>
      <w:r>
        <w:rPr>
          <w:rFonts w:hint="eastAsia"/>
          <w:sz w:val="24"/>
        </w:rPr>
        <w:t>③更换装置部件的程序、要求和更换率；</w:t>
      </w:r>
    </w:p>
    <w:p>
      <w:pPr>
        <w:spacing w:line="360" w:lineRule="auto"/>
        <w:rPr>
          <w:sz w:val="24"/>
        </w:rPr>
      </w:pPr>
      <w:r>
        <w:rPr>
          <w:rFonts w:hint="eastAsia"/>
          <w:sz w:val="24"/>
        </w:rPr>
        <w:t>④整个系统以至电路板的维修保养指示和说明、调校程序和寻找故障的指示及说明；</w:t>
      </w:r>
    </w:p>
    <w:p>
      <w:pPr>
        <w:spacing w:line="360" w:lineRule="auto"/>
        <w:ind w:firstLine="240" w:firstLineChars="100"/>
        <w:rPr>
          <w:sz w:val="24"/>
        </w:rPr>
      </w:pPr>
      <w:r>
        <w:rPr>
          <w:rFonts w:hint="eastAsia"/>
          <w:sz w:val="24"/>
        </w:rPr>
        <w:t>⑤进行系统操作和维修保养的程序和需要特别注意的事项；</w:t>
      </w:r>
    </w:p>
    <w:p>
      <w:pPr>
        <w:spacing w:line="360" w:lineRule="auto"/>
        <w:ind w:firstLine="240" w:firstLineChars="100"/>
        <w:rPr>
          <w:sz w:val="24"/>
        </w:rPr>
      </w:pPr>
      <w:r>
        <w:rPr>
          <w:rFonts w:hint="eastAsia"/>
          <w:sz w:val="24"/>
        </w:rPr>
        <w:t>⑥零备件储存和目录编册；</w:t>
      </w:r>
    </w:p>
    <w:p>
      <w:pPr>
        <w:spacing w:line="360" w:lineRule="auto"/>
        <w:ind w:firstLine="240" w:firstLineChars="100"/>
        <w:rPr>
          <w:sz w:val="24"/>
        </w:rPr>
      </w:pPr>
      <w:r>
        <w:rPr>
          <w:sz w:val="24"/>
        </w:rPr>
        <w:t xml:space="preserve">  (4) </w:t>
      </w:r>
      <w:r>
        <w:rPr>
          <w:rFonts w:hint="eastAsia"/>
          <w:sz w:val="24"/>
        </w:rPr>
        <w:t>安全保险。</w:t>
      </w:r>
    </w:p>
    <w:p>
      <w:pPr>
        <w:spacing w:line="360" w:lineRule="auto"/>
        <w:ind w:firstLine="240" w:firstLineChars="100"/>
        <w:rPr>
          <w:sz w:val="24"/>
        </w:rPr>
      </w:pPr>
      <w:r>
        <w:rPr>
          <w:rFonts w:hint="eastAsia"/>
          <w:sz w:val="24"/>
        </w:rPr>
        <w:t>①各类设备的正确操作程序；</w:t>
      </w:r>
    </w:p>
    <w:p>
      <w:pPr>
        <w:spacing w:line="360" w:lineRule="auto"/>
        <w:ind w:firstLine="240" w:firstLineChars="100"/>
        <w:rPr>
          <w:sz w:val="24"/>
        </w:rPr>
      </w:pPr>
      <w:r>
        <w:rPr>
          <w:rFonts w:hint="eastAsia"/>
          <w:sz w:val="24"/>
        </w:rPr>
        <w:t>②对各项系统操作时可能发生的危险事故所应作的预防、应变和保护措施说明；</w:t>
      </w:r>
    </w:p>
    <w:p>
      <w:pPr>
        <w:spacing w:line="360" w:lineRule="auto"/>
        <w:ind w:firstLine="240" w:firstLineChars="100"/>
        <w:rPr>
          <w:sz w:val="24"/>
        </w:rPr>
      </w:pPr>
      <w:r>
        <w:rPr>
          <w:sz w:val="24"/>
        </w:rPr>
        <w:t xml:space="preserve">  (5) </w:t>
      </w:r>
      <w:r>
        <w:rPr>
          <w:rFonts w:hint="eastAsia"/>
          <w:sz w:val="24"/>
        </w:rPr>
        <w:t>供应厂商指南；</w:t>
      </w:r>
    </w:p>
    <w:p>
      <w:pPr>
        <w:spacing w:line="360" w:lineRule="auto"/>
        <w:ind w:firstLine="240" w:firstLineChars="100"/>
        <w:rPr>
          <w:sz w:val="24"/>
        </w:rPr>
      </w:pPr>
      <w:r>
        <w:rPr>
          <w:rFonts w:hint="eastAsia"/>
          <w:sz w:val="24"/>
        </w:rPr>
        <w:t>应列出每一种设备、材料和附件的供应厂商和代理商的名单、通信地址、联系电话及图文传真号码；</w:t>
      </w:r>
    </w:p>
    <w:p>
      <w:pPr>
        <w:spacing w:line="360" w:lineRule="auto"/>
        <w:ind w:firstLine="480" w:firstLineChars="200"/>
        <w:rPr>
          <w:sz w:val="24"/>
        </w:rPr>
      </w:pPr>
      <w:r>
        <w:rPr>
          <w:sz w:val="24"/>
        </w:rPr>
        <w:t xml:space="preserve">(6) </w:t>
      </w:r>
      <w:r>
        <w:rPr>
          <w:rFonts w:hint="eastAsia"/>
          <w:sz w:val="24"/>
        </w:rPr>
        <w:t>零备件表</w:t>
      </w:r>
    </w:p>
    <w:p>
      <w:pPr>
        <w:spacing w:line="360" w:lineRule="auto"/>
        <w:rPr>
          <w:sz w:val="24"/>
        </w:rPr>
      </w:pPr>
      <w:r>
        <w:rPr>
          <w:rFonts w:hint="eastAsia"/>
          <w:sz w:val="24"/>
        </w:rPr>
        <w:t>应列出提供给业主的所有零备件和维修保养所用工具的清单。</w:t>
      </w:r>
    </w:p>
    <w:p>
      <w:pPr>
        <w:spacing w:line="360" w:lineRule="auto"/>
        <w:ind w:firstLine="198"/>
        <w:rPr>
          <w:rFonts w:ascii="宋体" w:hAnsi="宋体"/>
          <w:b/>
          <w:sz w:val="24"/>
        </w:rPr>
      </w:pPr>
      <w:r>
        <w:rPr>
          <w:rFonts w:hint="eastAsia"/>
          <w:sz w:val="24"/>
        </w:rPr>
        <w:t>七、设备技术服务条件</w:t>
      </w:r>
      <w:r>
        <w:rPr>
          <w:rFonts w:hint="eastAsia" w:ascii="Arial Unicode MS" w:hAnsi="Arial Unicode MS" w:eastAsia="Arial Unicode MS" w:cs="Arial Unicode MS"/>
          <w:sz w:val="24"/>
        </w:rPr>
        <w:t></w:t>
      </w:r>
    </w:p>
    <w:p>
      <w:pPr>
        <w:spacing w:line="360" w:lineRule="auto"/>
        <w:ind w:firstLine="198"/>
        <w:rPr>
          <w:rFonts w:ascii="Times New Roman" w:hAnsi="Times New Roman"/>
          <w:sz w:val="24"/>
        </w:rPr>
      </w:pPr>
      <w:r>
        <w:rPr>
          <w:rFonts w:hint="eastAsia" w:ascii="宋体" w:hAnsi="宋体"/>
          <w:sz w:val="24"/>
        </w:rPr>
        <w:t>1、</w:t>
      </w:r>
      <w:r>
        <w:rPr>
          <w:rFonts w:hint="eastAsia"/>
          <w:sz w:val="24"/>
        </w:rPr>
        <w:t>投标人应免费对用户进行设备操作使用和维护保养方面的培训</w:t>
      </w:r>
      <w:r>
        <w:rPr>
          <w:sz w:val="24"/>
        </w:rPr>
        <w:t>(</w:t>
      </w:r>
      <w:r>
        <w:rPr>
          <w:rFonts w:hint="eastAsia"/>
          <w:sz w:val="24"/>
        </w:rPr>
        <w:t>并提供安装使用维护说明书</w:t>
      </w:r>
      <w:r>
        <w:rPr>
          <w:sz w:val="24"/>
        </w:rPr>
        <w:t>)</w:t>
      </w:r>
      <w:r>
        <w:rPr>
          <w:rFonts w:hint="eastAsia"/>
          <w:sz w:val="24"/>
        </w:rPr>
        <w:t>。应负责指导设备安装、设备调试，确保所供设备验收合格，交付使用，直到工程保修期满。当设备到货情况与合同要求不符时，无论买方是否向卖方指出，卖方均应立即无偿补足、替换相关设备不得影响现场进度。在安装、调试、初步验收、最终验收过程中发现设备和零部件的质量达不到本需求书的要求时，无论买方是否向卖方指出，卖方均应立即无偿更换不合格的设备和零部件并不得影响现场进度。在安装、调试、初步验收、最终验收过程中发生设备和零部件的损坏时，无论买方是否向卖方指出，卖方均应立即无条件先行进行维修、修理，必要时先行更换为合格的设备和零部件并不得影响现场进度，由卖方负责与损坏责任方交涉损坏索赔事宜，买方应为此提供必要的协助。</w:t>
      </w:r>
    </w:p>
    <w:p>
      <w:pPr>
        <w:spacing w:line="360" w:lineRule="auto"/>
        <w:ind w:firstLine="198"/>
        <w:rPr>
          <w:sz w:val="24"/>
        </w:rPr>
      </w:pPr>
      <w:r>
        <w:rPr>
          <w:sz w:val="24"/>
        </w:rPr>
        <w:t xml:space="preserve"> 2</w:t>
      </w:r>
      <w:r>
        <w:rPr>
          <w:rFonts w:hint="eastAsia"/>
          <w:sz w:val="24"/>
        </w:rPr>
        <w:t>、质保期内发生卖方原因引起的与设备和零部件有关的问题时，卖方应于收到用户通知后</w:t>
      </w:r>
      <w:r>
        <w:rPr>
          <w:sz w:val="24"/>
        </w:rPr>
        <w:t>8</w:t>
      </w:r>
      <w:r>
        <w:rPr>
          <w:rFonts w:hint="eastAsia"/>
          <w:sz w:val="24"/>
        </w:rPr>
        <w:t>小时内派遣相关人员到达现场，立即无偿更换或修理有问题的设备和零部件，提供免费服务，买方保留索赔的权利。质保期内发生非卖方原因引起的与设备和零部件有关的问题时</w:t>
      </w:r>
      <w:r>
        <w:rPr>
          <w:sz w:val="24"/>
        </w:rPr>
        <w:t xml:space="preserve">, </w:t>
      </w:r>
      <w:r>
        <w:rPr>
          <w:rFonts w:hint="eastAsia"/>
          <w:sz w:val="24"/>
        </w:rPr>
        <w:t>卖方应于收到用户通知后</w:t>
      </w:r>
      <w:r>
        <w:rPr>
          <w:sz w:val="24"/>
        </w:rPr>
        <w:t>8</w:t>
      </w:r>
      <w:r>
        <w:rPr>
          <w:rFonts w:hint="eastAsia"/>
          <w:sz w:val="24"/>
        </w:rPr>
        <w:t>小时内派遣相关人员到达现场进行维修和必要的更换，卖方只向买方收取零配件和人工等成本费。</w:t>
      </w:r>
    </w:p>
    <w:p>
      <w:pPr>
        <w:spacing w:line="360" w:lineRule="auto"/>
        <w:ind w:firstLine="198"/>
        <w:rPr>
          <w:sz w:val="24"/>
        </w:rPr>
      </w:pPr>
      <w:r>
        <w:rPr>
          <w:sz w:val="24"/>
        </w:rPr>
        <w:t xml:space="preserve"> 3</w:t>
      </w:r>
      <w:r>
        <w:rPr>
          <w:rFonts w:hint="eastAsia"/>
          <w:sz w:val="24"/>
        </w:rPr>
        <w:t>、质保期外卖方应保证以优惠的价格提供维修保养服务和备件，当发生与设备和零部件有关的问题时，投标人应按照保质期内同样的要求进行维修处理，卖方应于收到用户通知后</w:t>
      </w:r>
      <w:r>
        <w:rPr>
          <w:sz w:val="24"/>
        </w:rPr>
        <w:t>8</w:t>
      </w:r>
      <w:r>
        <w:rPr>
          <w:rFonts w:hint="eastAsia"/>
          <w:sz w:val="24"/>
        </w:rPr>
        <w:t>小时内派遣相关人员到达现场进行维修和必要的更换，卖方只向买方收取零配件和人工等成本费。投标人应提供质保期满后</w:t>
      </w:r>
      <w:r>
        <w:rPr>
          <w:sz w:val="24"/>
        </w:rPr>
        <w:t>3</w:t>
      </w:r>
      <w:r>
        <w:rPr>
          <w:rFonts w:hint="eastAsia"/>
          <w:sz w:val="24"/>
        </w:rPr>
        <w:t>年内的维修保养价格。</w:t>
      </w:r>
    </w:p>
    <w:p>
      <w:pPr>
        <w:spacing w:line="360" w:lineRule="auto"/>
        <w:ind w:firstLine="198"/>
        <w:rPr>
          <w:sz w:val="24"/>
        </w:rPr>
      </w:pPr>
      <w:r>
        <w:rPr>
          <w:sz w:val="24"/>
        </w:rPr>
        <w:t xml:space="preserve"> 4</w:t>
      </w:r>
      <w:r>
        <w:rPr>
          <w:rFonts w:hint="eastAsia"/>
          <w:sz w:val="24"/>
        </w:rPr>
        <w:t>、最终验收合格后，在设备的全部正常使用期间，发现设备和零部件的质量达不到本需求书的要求时，买方将以书面形式通知卖方进行索赔，卖方应于收到通知后一周内作出书面答复，以确认是否接受买方的索赔，若一周内未作出书面答复则视为该索赔要求已为卖方接受。</w:t>
      </w:r>
    </w:p>
    <w:p>
      <w:pPr>
        <w:spacing w:line="360" w:lineRule="auto"/>
        <w:ind w:firstLine="198"/>
        <w:rPr>
          <w:sz w:val="24"/>
        </w:rPr>
      </w:pPr>
      <w:r>
        <w:rPr>
          <w:sz w:val="24"/>
        </w:rPr>
        <w:t xml:space="preserve"> 5</w:t>
      </w:r>
      <w:r>
        <w:rPr>
          <w:rFonts w:hint="eastAsia"/>
          <w:sz w:val="24"/>
        </w:rPr>
        <w:t>、因质量问题而提出索赔的解决方式：更换、维修或修理，在买方许可条件下，在现场或工厂由卖方自费对有缺陷的设备和零部件进行修复，使之符合本需求书的要求；更换，卖方无偿以全新的、合格的产品替换有缺陷的设备和零部件，更换下来的、有缺陷的设备和零部件是卖方财产，退货，买方有权拒绝接受有质量问题的任何设备和零部件并退回给卖方，卖方须承担由此而发生的一切费用，买方认为有必要时有权解除合同并要求卖方支付违约金。</w:t>
      </w:r>
    </w:p>
    <w:p>
      <w:pPr>
        <w:spacing w:line="360" w:lineRule="auto"/>
        <w:ind w:firstLine="198"/>
        <w:rPr>
          <w:sz w:val="24"/>
        </w:rPr>
      </w:pPr>
      <w:r>
        <w:rPr>
          <w:sz w:val="24"/>
        </w:rPr>
        <w:t xml:space="preserve"> 6</w:t>
      </w:r>
      <w:r>
        <w:rPr>
          <w:rFonts w:hint="eastAsia"/>
          <w:sz w:val="24"/>
        </w:rPr>
        <w:t>、在安装、调试、初步验收、最终验收过程中，由于卖方原因导致工期延长损失、其他返工损失等费用由卖方承担。</w:t>
      </w:r>
    </w:p>
    <w:p>
      <w:pPr>
        <w:spacing w:line="360" w:lineRule="auto"/>
        <w:ind w:firstLine="198"/>
        <w:rPr>
          <w:sz w:val="24"/>
        </w:rPr>
      </w:pPr>
      <w:r>
        <w:rPr>
          <w:sz w:val="24"/>
        </w:rPr>
        <w:t xml:space="preserve"> 7</w:t>
      </w:r>
      <w:r>
        <w:rPr>
          <w:rFonts w:hint="eastAsia"/>
          <w:sz w:val="24"/>
        </w:rPr>
        <w:t>、最终验收合格后，设备的维修维护事宜由买卖双方另行商定。</w:t>
      </w:r>
    </w:p>
    <w:p>
      <w:pPr>
        <w:spacing w:line="360" w:lineRule="auto"/>
        <w:rPr>
          <w:sz w:val="24"/>
        </w:rPr>
      </w:pPr>
    </w:p>
    <w:p>
      <w:pPr>
        <w:spacing w:line="360" w:lineRule="auto"/>
      </w:pPr>
    </w:p>
    <w:p>
      <w:pPr>
        <w:spacing w:line="360" w:lineRule="auto"/>
        <w:ind w:firstLine="790" w:firstLineChars="246"/>
        <w:textAlignment w:val="baseline"/>
        <w:outlineLvl w:val="1"/>
        <w:rPr>
          <w:rFonts w:hint="eastAsia" w:ascii="黑体" w:eastAsia="黑体"/>
          <w:b/>
          <w:sz w:val="32"/>
        </w:rPr>
      </w:pPr>
      <w:r>
        <w:rPr>
          <w:rFonts w:hint="eastAsia" w:ascii="黑体" w:eastAsia="黑体"/>
          <w:b/>
          <w:sz w:val="32"/>
        </w:rPr>
        <w:br w:type="page"/>
      </w:r>
    </w:p>
    <w:p>
      <w:pPr>
        <w:spacing w:line="360" w:lineRule="auto"/>
        <w:ind w:firstLine="790" w:firstLineChars="246"/>
        <w:textAlignment w:val="baseline"/>
        <w:outlineLvl w:val="1"/>
        <w:rPr>
          <w:rFonts w:ascii="黑体" w:eastAsia="黑体"/>
          <w:b/>
          <w:sz w:val="32"/>
        </w:rPr>
      </w:pPr>
      <w:r>
        <w:rPr>
          <w:rFonts w:hint="eastAsia" w:ascii="黑体" w:eastAsia="黑体"/>
          <w:b/>
          <w:sz w:val="32"/>
        </w:rPr>
        <w:t xml:space="preserve">第二章 </w:t>
      </w:r>
      <w:r>
        <w:rPr>
          <w:rFonts w:ascii="黑体" w:eastAsia="黑体"/>
          <w:b/>
          <w:sz w:val="32"/>
        </w:rPr>
        <w:t xml:space="preserve">    </w:t>
      </w:r>
      <w:r>
        <w:rPr>
          <w:rFonts w:hint="eastAsia" w:ascii="黑体" w:eastAsia="黑体"/>
          <w:b/>
          <w:sz w:val="32"/>
        </w:rPr>
        <w:t>生活给水系统、排污水系统</w:t>
      </w:r>
    </w:p>
    <w:p>
      <w:pPr>
        <w:spacing w:line="360" w:lineRule="auto"/>
        <w:jc w:val="center"/>
        <w:rPr>
          <w:rFonts w:ascii="Times New Roman"/>
          <w:b/>
          <w:sz w:val="32"/>
        </w:rPr>
      </w:pPr>
    </w:p>
    <w:p>
      <w:pPr>
        <w:spacing w:line="360" w:lineRule="auto"/>
        <w:jc w:val="center"/>
        <w:textAlignment w:val="baseline"/>
        <w:outlineLvl w:val="2"/>
        <w:rPr>
          <w:b/>
          <w:sz w:val="32"/>
        </w:rPr>
      </w:pPr>
      <w:r>
        <w:rPr>
          <w:rFonts w:hint="eastAsia"/>
          <w:b/>
          <w:sz w:val="32"/>
        </w:rPr>
        <w:t xml:space="preserve">第一节 </w:t>
      </w:r>
      <w:r>
        <w:rPr>
          <w:b/>
          <w:sz w:val="32"/>
        </w:rPr>
        <w:t xml:space="preserve"> </w:t>
      </w:r>
      <w:r>
        <w:rPr>
          <w:rFonts w:hint="eastAsia"/>
          <w:b/>
          <w:sz w:val="32"/>
          <w:szCs w:val="32"/>
        </w:rPr>
        <w:t>概述</w:t>
      </w:r>
    </w:p>
    <w:p>
      <w:pPr>
        <w:spacing w:line="360" w:lineRule="auto"/>
        <w:rPr>
          <w:sz w:val="24"/>
        </w:rPr>
      </w:pPr>
    </w:p>
    <w:p>
      <w:pPr>
        <w:spacing w:line="360" w:lineRule="auto"/>
        <w:ind w:firstLine="480" w:firstLineChars="200"/>
        <w:rPr>
          <w:sz w:val="24"/>
        </w:rPr>
      </w:pPr>
      <w:r>
        <w:rPr>
          <w:sz w:val="24"/>
        </w:rPr>
        <w:t>l</w:t>
      </w:r>
      <w:r>
        <w:rPr>
          <w:rFonts w:hint="eastAsia"/>
          <w:sz w:val="24"/>
        </w:rPr>
        <w:t>、本章说明生活给水、污水排放系统的施工安装所需的各项技术要求。</w:t>
      </w:r>
    </w:p>
    <w:p>
      <w:pPr>
        <w:spacing w:line="360" w:lineRule="auto"/>
        <w:ind w:firstLine="480" w:firstLineChars="200"/>
        <w:rPr>
          <w:sz w:val="24"/>
        </w:rPr>
      </w:pPr>
      <w:r>
        <w:rPr>
          <w:sz w:val="24"/>
        </w:rPr>
        <w:t>2</w:t>
      </w:r>
      <w:r>
        <w:rPr>
          <w:rFonts w:hint="eastAsia"/>
          <w:sz w:val="24"/>
        </w:rPr>
        <w:t>、当地环境条件</w:t>
      </w:r>
    </w:p>
    <w:p>
      <w:pPr>
        <w:spacing w:line="360" w:lineRule="auto"/>
        <w:ind w:firstLine="480" w:firstLineChars="200"/>
        <w:rPr>
          <w:sz w:val="24"/>
        </w:rPr>
      </w:pPr>
      <w:r>
        <w:rPr>
          <w:sz w:val="24"/>
        </w:rPr>
        <w:t xml:space="preserve">(1) </w:t>
      </w:r>
      <w:r>
        <w:rPr>
          <w:rFonts w:hint="eastAsia"/>
          <w:sz w:val="24"/>
        </w:rPr>
        <w:t>温度</w:t>
      </w:r>
    </w:p>
    <w:p>
      <w:pPr>
        <w:spacing w:line="360" w:lineRule="auto"/>
        <w:ind w:firstLine="240" w:firstLineChars="100"/>
        <w:rPr>
          <w:sz w:val="24"/>
        </w:rPr>
      </w:pPr>
      <w:r>
        <w:rPr>
          <w:rFonts w:hint="eastAsia"/>
          <w:sz w:val="24"/>
        </w:rPr>
        <w:t>夏季：记录的最高温度为</w:t>
      </w:r>
      <w:r>
        <w:rPr>
          <w:sz w:val="24"/>
        </w:rPr>
        <w:t>(</w:t>
      </w:r>
      <w:r>
        <w:rPr>
          <w:rFonts w:hint="eastAsia"/>
          <w:sz w:val="24"/>
        </w:rPr>
        <w:t>干球</w:t>
      </w:r>
      <w:r>
        <w:rPr>
          <w:sz w:val="24"/>
        </w:rPr>
        <w:t>)  36 .0</w:t>
      </w:r>
      <w:r>
        <w:rPr>
          <w:rFonts w:hint="eastAsia"/>
          <w:sz w:val="24"/>
        </w:rPr>
        <w:t>℃；</w:t>
      </w:r>
    </w:p>
    <w:p>
      <w:pPr>
        <w:spacing w:line="360" w:lineRule="auto"/>
        <w:rPr>
          <w:sz w:val="24"/>
        </w:rPr>
      </w:pPr>
      <w:r>
        <w:rPr>
          <w:rFonts w:hint="eastAsia"/>
          <w:sz w:val="24"/>
        </w:rPr>
        <w:t>最热月份的平均温度</w:t>
      </w:r>
      <w:r>
        <w:rPr>
          <w:sz w:val="24"/>
        </w:rPr>
        <w:t>(</w:t>
      </w:r>
      <w:r>
        <w:rPr>
          <w:rFonts w:hint="eastAsia"/>
          <w:sz w:val="24"/>
        </w:rPr>
        <w:t>干球</w:t>
      </w:r>
      <w:r>
        <w:rPr>
          <w:sz w:val="24"/>
        </w:rPr>
        <w:t>)28.6</w:t>
      </w:r>
      <w:r>
        <w:rPr>
          <w:rFonts w:hint="eastAsia"/>
          <w:sz w:val="24"/>
        </w:rPr>
        <w:t>℃。</w:t>
      </w:r>
    </w:p>
    <w:p>
      <w:pPr>
        <w:spacing w:line="360" w:lineRule="auto"/>
        <w:rPr>
          <w:sz w:val="24"/>
        </w:rPr>
      </w:pPr>
      <w:r>
        <w:rPr>
          <w:rFonts w:hint="eastAsia"/>
          <w:sz w:val="24"/>
        </w:rPr>
        <w:t>冬季：记录的最低温度为</w:t>
      </w:r>
      <w:r>
        <w:rPr>
          <w:sz w:val="24"/>
        </w:rPr>
        <w:t>(</w:t>
      </w:r>
      <w:r>
        <w:rPr>
          <w:rFonts w:hint="eastAsia"/>
          <w:sz w:val="24"/>
        </w:rPr>
        <w:t>干球</w:t>
      </w:r>
      <w:r>
        <w:rPr>
          <w:sz w:val="24"/>
        </w:rPr>
        <w:t>)  0</w:t>
      </w:r>
      <w:r>
        <w:rPr>
          <w:rFonts w:hint="eastAsia"/>
          <w:sz w:val="24"/>
        </w:rPr>
        <w:t>℃；</w:t>
      </w:r>
    </w:p>
    <w:p>
      <w:pPr>
        <w:spacing w:line="360" w:lineRule="auto"/>
        <w:rPr>
          <w:sz w:val="24"/>
        </w:rPr>
      </w:pPr>
      <w:r>
        <w:rPr>
          <w:rFonts w:hint="eastAsia"/>
          <w:sz w:val="24"/>
        </w:rPr>
        <w:t>最冷月份的平均温度</w:t>
      </w:r>
      <w:r>
        <w:rPr>
          <w:sz w:val="24"/>
        </w:rPr>
        <w:t>(</w:t>
      </w:r>
      <w:r>
        <w:rPr>
          <w:rFonts w:hint="eastAsia"/>
          <w:sz w:val="24"/>
        </w:rPr>
        <w:t>干球</w:t>
      </w:r>
      <w:r>
        <w:rPr>
          <w:sz w:val="24"/>
        </w:rPr>
        <w:t>)  6</w:t>
      </w:r>
      <w:r>
        <w:rPr>
          <w:rFonts w:hint="eastAsia"/>
          <w:sz w:val="24"/>
        </w:rPr>
        <w:t>℃。</w:t>
      </w:r>
    </w:p>
    <w:p>
      <w:pPr>
        <w:spacing w:line="360" w:lineRule="auto"/>
        <w:ind w:firstLine="480" w:firstLineChars="200"/>
        <w:rPr>
          <w:sz w:val="24"/>
        </w:rPr>
      </w:pPr>
      <w:r>
        <w:rPr>
          <w:sz w:val="24"/>
        </w:rPr>
        <w:t xml:space="preserve">(2) </w:t>
      </w:r>
      <w:r>
        <w:rPr>
          <w:rFonts w:hint="eastAsia"/>
          <w:sz w:val="24"/>
        </w:rPr>
        <w:t>相对湿度</w:t>
      </w:r>
    </w:p>
    <w:p>
      <w:pPr>
        <w:spacing w:line="360" w:lineRule="auto"/>
        <w:rPr>
          <w:sz w:val="24"/>
        </w:rPr>
      </w:pPr>
      <w:r>
        <w:rPr>
          <w:rFonts w:hint="eastAsia"/>
          <w:sz w:val="24"/>
        </w:rPr>
        <w:t>最热月份平均值：</w:t>
      </w:r>
      <w:r>
        <w:rPr>
          <w:sz w:val="24"/>
        </w:rPr>
        <w:t>81</w:t>
      </w:r>
      <w:r>
        <w:rPr>
          <w:rFonts w:hint="eastAsia"/>
          <w:sz w:val="24"/>
        </w:rPr>
        <w:t>％；</w:t>
      </w:r>
    </w:p>
    <w:p>
      <w:pPr>
        <w:spacing w:line="360" w:lineRule="auto"/>
        <w:rPr>
          <w:sz w:val="24"/>
        </w:rPr>
      </w:pPr>
      <w:r>
        <w:rPr>
          <w:rFonts w:hint="eastAsia"/>
          <w:sz w:val="24"/>
        </w:rPr>
        <w:t>最冷月份平均值：</w:t>
      </w:r>
      <w:r>
        <w:rPr>
          <w:sz w:val="24"/>
        </w:rPr>
        <w:t>71</w:t>
      </w:r>
      <w:r>
        <w:rPr>
          <w:rFonts w:hint="eastAsia"/>
          <w:sz w:val="24"/>
        </w:rPr>
        <w:t>％。</w:t>
      </w:r>
    </w:p>
    <w:p>
      <w:pPr>
        <w:spacing w:line="360" w:lineRule="auto"/>
        <w:ind w:firstLine="480" w:firstLineChars="200"/>
        <w:rPr>
          <w:sz w:val="24"/>
        </w:rPr>
      </w:pPr>
      <w:r>
        <w:rPr>
          <w:sz w:val="24"/>
        </w:rPr>
        <w:t>3</w:t>
      </w:r>
      <w:r>
        <w:rPr>
          <w:rFonts w:hint="eastAsia"/>
          <w:sz w:val="24"/>
        </w:rPr>
        <w:t>、一般要求</w:t>
      </w:r>
    </w:p>
    <w:p>
      <w:pPr>
        <w:spacing w:line="360" w:lineRule="auto"/>
        <w:rPr>
          <w:sz w:val="24"/>
        </w:rPr>
      </w:pPr>
      <w:r>
        <w:rPr>
          <w:sz w:val="24"/>
        </w:rPr>
        <w:t xml:space="preserve">    (1) </w:t>
      </w:r>
      <w:r>
        <w:rPr>
          <w:rFonts w:hint="eastAsia"/>
          <w:sz w:val="24"/>
        </w:rPr>
        <w:t>所有送达工地的管道、设备均应为全新的，并有标识以利辨别其等级、真伪；</w:t>
      </w:r>
    </w:p>
    <w:p>
      <w:pPr>
        <w:spacing w:line="360" w:lineRule="auto"/>
        <w:rPr>
          <w:sz w:val="24"/>
        </w:rPr>
      </w:pPr>
      <w:r>
        <w:rPr>
          <w:sz w:val="24"/>
        </w:rPr>
        <w:t xml:space="preserve">    (2) </w:t>
      </w:r>
      <w:r>
        <w:rPr>
          <w:rFonts w:hint="eastAsia"/>
          <w:sz w:val="24"/>
        </w:rPr>
        <w:t>化粪池、雨水井、污水井</w:t>
      </w:r>
      <w:r>
        <w:rPr>
          <w:rFonts w:hint="eastAsia" w:hAnsi="宋体"/>
          <w:sz w:val="24"/>
        </w:rPr>
        <w:t>、雨水口、</w:t>
      </w:r>
      <w:r>
        <w:rPr>
          <w:rFonts w:hint="eastAsia"/>
          <w:sz w:val="24"/>
        </w:rPr>
        <w:t>建筑物内的一切管道接驳工作、水泵、水泵的控制系统、电线、线管、管道、阀门及有关配件等均由本承包商负责安装。</w:t>
      </w:r>
    </w:p>
    <w:p>
      <w:pPr>
        <w:spacing w:line="360" w:lineRule="auto"/>
        <w:rPr>
          <w:sz w:val="24"/>
        </w:rPr>
      </w:pPr>
    </w:p>
    <w:p>
      <w:pPr>
        <w:spacing w:line="360" w:lineRule="auto"/>
        <w:rPr>
          <w:sz w:val="24"/>
        </w:rPr>
      </w:pPr>
    </w:p>
    <w:p>
      <w:pPr>
        <w:spacing w:line="360" w:lineRule="auto"/>
        <w:jc w:val="center"/>
        <w:rPr>
          <w:b/>
          <w:sz w:val="32"/>
          <w:szCs w:val="32"/>
        </w:rPr>
      </w:pPr>
      <w:r>
        <w:rPr>
          <w:rFonts w:hint="eastAsia"/>
          <w:b/>
          <w:sz w:val="32"/>
          <w:szCs w:val="32"/>
        </w:rPr>
        <w:t>第二节、管道及支架</w:t>
      </w:r>
    </w:p>
    <w:p>
      <w:pPr>
        <w:spacing w:line="360" w:lineRule="auto"/>
        <w:rPr>
          <w:sz w:val="24"/>
          <w:szCs w:val="24"/>
        </w:rPr>
      </w:pPr>
      <w:r>
        <w:rPr>
          <w:sz w:val="24"/>
        </w:rPr>
        <w:t xml:space="preserve">    l</w:t>
      </w:r>
      <w:r>
        <w:rPr>
          <w:rFonts w:hint="eastAsia"/>
          <w:sz w:val="24"/>
        </w:rPr>
        <w:t>、</w:t>
      </w:r>
      <w:r>
        <w:rPr>
          <w:rFonts w:hint="eastAsia"/>
          <w:b/>
          <w:sz w:val="24"/>
        </w:rPr>
        <w:t>一般要求</w:t>
      </w:r>
    </w:p>
    <w:p>
      <w:pPr>
        <w:spacing w:line="360" w:lineRule="auto"/>
        <w:rPr>
          <w:sz w:val="24"/>
        </w:rPr>
      </w:pPr>
      <w:r>
        <w:rPr>
          <w:sz w:val="24"/>
        </w:rPr>
        <w:t xml:space="preserve">    (1) </w:t>
      </w:r>
      <w:r>
        <w:rPr>
          <w:rFonts w:hint="eastAsia"/>
          <w:sz w:val="24"/>
        </w:rPr>
        <w:t>所有管道应按施工图纸及有关施工规范进行施工安装；</w:t>
      </w:r>
    </w:p>
    <w:p>
      <w:pPr>
        <w:spacing w:line="360" w:lineRule="auto"/>
        <w:rPr>
          <w:sz w:val="24"/>
        </w:rPr>
      </w:pPr>
      <w:r>
        <w:rPr>
          <w:sz w:val="24"/>
        </w:rPr>
        <w:t xml:space="preserve">    (2) </w:t>
      </w:r>
      <w:r>
        <w:rPr>
          <w:rFonts w:hint="eastAsia"/>
          <w:sz w:val="24"/>
        </w:rPr>
        <w:t>管道接口不得隐藏在墙壁或地板内；</w:t>
      </w:r>
    </w:p>
    <w:p>
      <w:pPr>
        <w:spacing w:line="360" w:lineRule="auto"/>
        <w:rPr>
          <w:sz w:val="24"/>
        </w:rPr>
      </w:pPr>
      <w:r>
        <w:rPr>
          <w:sz w:val="24"/>
        </w:rPr>
        <w:t xml:space="preserve">    (3) </w:t>
      </w:r>
      <w:r>
        <w:rPr>
          <w:rFonts w:hint="eastAsia"/>
          <w:sz w:val="24"/>
        </w:rPr>
        <w:t>管道穿越墙壁、楼板须按规范设置套管，若所穿越的结构有防水要求时，须用防水套管接驳；</w:t>
      </w:r>
    </w:p>
    <w:p>
      <w:pPr>
        <w:spacing w:line="360" w:lineRule="auto"/>
        <w:rPr>
          <w:sz w:val="24"/>
        </w:rPr>
      </w:pPr>
      <w:r>
        <w:rPr>
          <w:sz w:val="24"/>
        </w:rPr>
        <w:t xml:space="preserve">    (4) </w:t>
      </w:r>
      <w:r>
        <w:rPr>
          <w:rFonts w:hint="eastAsia"/>
          <w:sz w:val="24"/>
        </w:rPr>
        <w:t>配合施工进度提交所有有关管道的安装；</w:t>
      </w:r>
    </w:p>
    <w:p>
      <w:pPr>
        <w:spacing w:line="360" w:lineRule="auto"/>
        <w:rPr>
          <w:sz w:val="24"/>
        </w:rPr>
      </w:pPr>
      <w:r>
        <w:rPr>
          <w:sz w:val="24"/>
        </w:rPr>
        <w:t xml:space="preserve">    (5) </w:t>
      </w:r>
      <w:r>
        <w:rPr>
          <w:rFonts w:hint="eastAsia"/>
          <w:sz w:val="24"/>
        </w:rPr>
        <w:t>管道跨越楼宇伸缩缝时，必须采取措施如采用波纹伸缩器连接；</w:t>
      </w:r>
    </w:p>
    <w:p>
      <w:pPr>
        <w:spacing w:line="360" w:lineRule="auto"/>
        <w:rPr>
          <w:sz w:val="24"/>
        </w:rPr>
      </w:pPr>
      <w:r>
        <w:rPr>
          <w:sz w:val="24"/>
        </w:rPr>
        <w:t xml:space="preserve">    (6) </w:t>
      </w:r>
      <w:r>
        <w:rPr>
          <w:rFonts w:hint="eastAsia"/>
          <w:sz w:val="24"/>
        </w:rPr>
        <w:t>在安装需配合吊顶时承包商须负责调整管道的高低使之符合吊顶高度，费用由承包商承担。若管道须早于吊顶安装时，承包商应预先获得监理工程师发出预定高度的指令后方可进行；</w:t>
      </w:r>
    </w:p>
    <w:p>
      <w:pPr>
        <w:spacing w:line="360" w:lineRule="auto"/>
        <w:rPr>
          <w:sz w:val="24"/>
        </w:rPr>
      </w:pPr>
      <w:r>
        <w:rPr>
          <w:sz w:val="24"/>
        </w:rPr>
        <w:t xml:space="preserve">    (7) </w:t>
      </w:r>
      <w:r>
        <w:rPr>
          <w:rFonts w:hint="eastAsia"/>
          <w:sz w:val="24"/>
        </w:rPr>
        <w:t>任何情况下，镀锌钢管不得采用焊接方法；</w:t>
      </w:r>
    </w:p>
    <w:p>
      <w:pPr>
        <w:spacing w:line="360" w:lineRule="auto"/>
        <w:rPr>
          <w:sz w:val="24"/>
        </w:rPr>
      </w:pPr>
      <w:r>
        <w:rPr>
          <w:sz w:val="24"/>
        </w:rPr>
        <w:t xml:space="preserve">     2</w:t>
      </w:r>
      <w:r>
        <w:rPr>
          <w:rFonts w:hint="eastAsia"/>
          <w:sz w:val="24"/>
        </w:rPr>
        <w:t>、</w:t>
      </w:r>
      <w:r>
        <w:rPr>
          <w:rFonts w:hint="eastAsia"/>
          <w:b/>
          <w:sz w:val="24"/>
        </w:rPr>
        <w:t>质量保证</w:t>
      </w:r>
    </w:p>
    <w:p>
      <w:pPr>
        <w:spacing w:line="360" w:lineRule="auto"/>
        <w:rPr>
          <w:sz w:val="24"/>
        </w:rPr>
      </w:pPr>
      <w:r>
        <w:rPr>
          <w:sz w:val="24"/>
        </w:rPr>
        <w:t xml:space="preserve">    (1) </w:t>
      </w:r>
      <w:r>
        <w:rPr>
          <w:rFonts w:hint="eastAsia"/>
          <w:sz w:val="24"/>
        </w:rPr>
        <w:t>所有管道装配人员和设备安装人员均应具有在本行业中至少三年以上有关的工作经验；</w:t>
      </w:r>
    </w:p>
    <w:p>
      <w:pPr>
        <w:spacing w:line="360" w:lineRule="auto"/>
        <w:rPr>
          <w:sz w:val="24"/>
        </w:rPr>
      </w:pPr>
      <w:r>
        <w:rPr>
          <w:sz w:val="24"/>
        </w:rPr>
        <w:t xml:space="preserve">    (2) </w:t>
      </w:r>
      <w:r>
        <w:rPr>
          <w:rFonts w:hint="eastAsia"/>
          <w:sz w:val="24"/>
        </w:rPr>
        <w:t>所有供本工程使用的管道和配件均应符合国家标准要求；</w:t>
      </w:r>
    </w:p>
    <w:p>
      <w:pPr>
        <w:spacing w:line="360" w:lineRule="auto"/>
        <w:rPr>
          <w:sz w:val="24"/>
        </w:rPr>
      </w:pPr>
      <w:r>
        <w:rPr>
          <w:sz w:val="24"/>
        </w:rPr>
        <w:t xml:space="preserve">    (3) </w:t>
      </w:r>
      <w:r>
        <w:rPr>
          <w:rFonts w:hint="eastAsia"/>
          <w:sz w:val="24"/>
        </w:rPr>
        <w:t>所有烧焊技工必须具备由有关政府机关签发的有效上岗证书。</w:t>
      </w:r>
    </w:p>
    <w:p>
      <w:pPr>
        <w:spacing w:line="360" w:lineRule="auto"/>
        <w:rPr>
          <w:sz w:val="24"/>
        </w:rPr>
      </w:pPr>
      <w:r>
        <w:rPr>
          <w:sz w:val="24"/>
        </w:rPr>
        <w:t xml:space="preserve">    3</w:t>
      </w:r>
      <w:r>
        <w:rPr>
          <w:rFonts w:hint="eastAsia"/>
          <w:sz w:val="24"/>
        </w:rPr>
        <w:t>、</w:t>
      </w:r>
      <w:r>
        <w:rPr>
          <w:rFonts w:hint="eastAsia"/>
          <w:b/>
          <w:sz w:val="24"/>
        </w:rPr>
        <w:t>资料呈送</w:t>
      </w:r>
    </w:p>
    <w:p>
      <w:pPr>
        <w:spacing w:line="360" w:lineRule="auto"/>
        <w:rPr>
          <w:sz w:val="24"/>
        </w:rPr>
      </w:pPr>
      <w:r>
        <w:rPr>
          <w:sz w:val="24"/>
        </w:rPr>
        <w:t xml:space="preserve">    (1) </w:t>
      </w:r>
      <w:r>
        <w:rPr>
          <w:rFonts w:hint="eastAsia"/>
          <w:sz w:val="24"/>
        </w:rPr>
        <w:t>提交管道支架和固定支架详图供审批；</w:t>
      </w:r>
    </w:p>
    <w:p>
      <w:pPr>
        <w:spacing w:line="360" w:lineRule="auto"/>
        <w:rPr>
          <w:sz w:val="24"/>
        </w:rPr>
      </w:pPr>
      <w:r>
        <w:rPr>
          <w:sz w:val="24"/>
        </w:rPr>
        <w:t xml:space="preserve">    (2) </w:t>
      </w:r>
      <w:r>
        <w:rPr>
          <w:rFonts w:hint="eastAsia"/>
          <w:sz w:val="24"/>
        </w:rPr>
        <w:t>提交管道安装、测试、清洁净化程序供审批；</w:t>
      </w:r>
    </w:p>
    <w:p>
      <w:pPr>
        <w:spacing w:line="360" w:lineRule="auto"/>
        <w:rPr>
          <w:sz w:val="24"/>
        </w:rPr>
      </w:pPr>
      <w:r>
        <w:rPr>
          <w:sz w:val="24"/>
        </w:rPr>
        <w:t xml:space="preserve">    (3) </w:t>
      </w:r>
      <w:r>
        <w:rPr>
          <w:rFonts w:hint="eastAsia"/>
          <w:sz w:val="24"/>
        </w:rPr>
        <w:t>在测试和投入运行后须提交安装、测试记录或报告。</w:t>
      </w:r>
    </w:p>
    <w:p>
      <w:pPr>
        <w:spacing w:line="360" w:lineRule="auto"/>
        <w:rPr>
          <w:sz w:val="24"/>
        </w:rPr>
      </w:pPr>
      <w:r>
        <w:rPr>
          <w:sz w:val="24"/>
        </w:rPr>
        <w:t xml:space="preserve">    4</w:t>
      </w:r>
      <w:r>
        <w:rPr>
          <w:rFonts w:hint="eastAsia"/>
          <w:sz w:val="24"/>
        </w:rPr>
        <w:t>、</w:t>
      </w:r>
      <w:r>
        <w:rPr>
          <w:rFonts w:hint="eastAsia"/>
          <w:b/>
          <w:sz w:val="24"/>
        </w:rPr>
        <w:t>产品</w:t>
      </w:r>
    </w:p>
    <w:p>
      <w:pPr>
        <w:spacing w:line="360" w:lineRule="auto"/>
        <w:rPr>
          <w:sz w:val="24"/>
        </w:rPr>
      </w:pPr>
      <w:r>
        <w:rPr>
          <w:sz w:val="24"/>
        </w:rPr>
        <w:t xml:space="preserve">    1) </w:t>
      </w:r>
      <w:r>
        <w:rPr>
          <w:rFonts w:hint="eastAsia"/>
          <w:sz w:val="24"/>
        </w:rPr>
        <w:t>生活给水管：管材要求详见图纸及附表“给排水、设备技术规格表”。</w:t>
      </w:r>
    </w:p>
    <w:p>
      <w:pPr>
        <w:spacing w:line="360" w:lineRule="auto"/>
        <w:rPr>
          <w:sz w:val="24"/>
        </w:rPr>
      </w:pPr>
      <w:r>
        <w:rPr>
          <w:sz w:val="24"/>
        </w:rPr>
        <w:t xml:space="preserve">    2) </w:t>
      </w:r>
      <w:r>
        <w:rPr>
          <w:rFonts w:hint="eastAsia"/>
          <w:sz w:val="24"/>
        </w:rPr>
        <w:t>沟槽开挖</w:t>
      </w:r>
    </w:p>
    <w:p>
      <w:pPr>
        <w:spacing w:line="360" w:lineRule="auto"/>
        <w:rPr>
          <w:sz w:val="24"/>
        </w:rPr>
      </w:pPr>
      <w:r>
        <w:rPr>
          <w:rFonts w:hint="eastAsia"/>
          <w:sz w:val="24"/>
        </w:rPr>
        <w:t>①室外埋地敷设的给水、排水管道应按施工图指示的位置、高程及坡度进行施工放线；</w:t>
      </w:r>
    </w:p>
    <w:p>
      <w:pPr>
        <w:spacing w:line="360" w:lineRule="auto"/>
        <w:rPr>
          <w:sz w:val="24"/>
        </w:rPr>
      </w:pPr>
      <w:r>
        <w:rPr>
          <w:rFonts w:hint="eastAsia"/>
          <w:sz w:val="24"/>
        </w:rPr>
        <w:t>②随着挖土工作进行，承包商须提供牢固的沟槽支撑，以防塌方。沟槽挖好后应尽快进行管道安装工作，并须经监理工程师及有关部门验收合格及批准后方可回填；</w:t>
      </w:r>
    </w:p>
    <w:p>
      <w:pPr>
        <w:tabs>
          <w:tab w:val="left" w:pos="540"/>
        </w:tabs>
        <w:spacing w:line="360" w:lineRule="auto"/>
        <w:rPr>
          <w:sz w:val="24"/>
        </w:rPr>
      </w:pPr>
      <w:r>
        <w:rPr>
          <w:rFonts w:hint="eastAsia"/>
          <w:sz w:val="24"/>
        </w:rPr>
        <w:t>③所有沟槽的垫层、回填、管道支墩及安装、试水等应根据图纸及有关规范进行；</w:t>
      </w:r>
    </w:p>
    <w:p>
      <w:pPr>
        <w:spacing w:line="360" w:lineRule="auto"/>
        <w:rPr>
          <w:sz w:val="24"/>
        </w:rPr>
      </w:pPr>
      <w:r>
        <w:rPr>
          <w:rFonts w:hint="eastAsia"/>
          <w:sz w:val="24"/>
        </w:rPr>
        <w:t>④承包商应清除所有挖掘后的剩余物质。</w:t>
      </w:r>
    </w:p>
    <w:p>
      <w:pPr>
        <w:spacing w:line="360" w:lineRule="auto"/>
        <w:ind w:firstLine="240" w:firstLineChars="100"/>
        <w:rPr>
          <w:sz w:val="24"/>
        </w:rPr>
      </w:pPr>
      <w:r>
        <w:rPr>
          <w:sz w:val="24"/>
        </w:rPr>
        <w:t xml:space="preserve">  3)</w:t>
      </w:r>
      <w:r>
        <w:rPr>
          <w:rFonts w:hint="eastAsia"/>
          <w:sz w:val="24"/>
        </w:rPr>
        <w:t>、管道接口</w:t>
      </w:r>
    </w:p>
    <w:p>
      <w:pPr>
        <w:tabs>
          <w:tab w:val="left" w:pos="540"/>
        </w:tabs>
        <w:spacing w:line="360" w:lineRule="auto"/>
        <w:ind w:firstLine="240" w:firstLineChars="100"/>
        <w:rPr>
          <w:sz w:val="24"/>
        </w:rPr>
      </w:pPr>
      <w:r>
        <w:rPr>
          <w:rFonts w:hint="eastAsia"/>
          <w:sz w:val="24"/>
        </w:rPr>
        <w:t>①管道连接方法应按附表的技术要求进行，除安装必要，接口的间距应不小于</w:t>
      </w:r>
      <w:r>
        <w:rPr>
          <w:sz w:val="24"/>
        </w:rPr>
        <w:t>3</w:t>
      </w:r>
      <w:r>
        <w:rPr>
          <w:rFonts w:hint="eastAsia"/>
          <w:sz w:val="24"/>
        </w:rPr>
        <w:t>米；</w:t>
      </w:r>
    </w:p>
    <w:p>
      <w:pPr>
        <w:spacing w:line="360" w:lineRule="auto"/>
        <w:rPr>
          <w:rFonts w:ascii="宋体" w:hAnsi="宋体"/>
          <w:sz w:val="24"/>
        </w:rPr>
      </w:pPr>
      <w:r>
        <w:rPr>
          <w:rFonts w:hint="eastAsia"/>
          <w:sz w:val="24"/>
        </w:rPr>
        <w:t>②泵房和设备房内所有管道附件须采用法兰接口或卡箍式联接。法兰连接时衬垫不得凸入管内，其外边缘接近螺栓孔为宜，不得安放双垫或偏垫。连接法兰的螺栓直径和长度应符合标准，拧紧后突出螺母的长度不应大于螺杆直径的</w:t>
      </w:r>
      <w:r>
        <w:rPr>
          <w:rFonts w:hint="eastAsia" w:ascii="宋体" w:hAnsi="宋体"/>
          <w:sz w:val="24"/>
        </w:rPr>
        <w:t>1/2；</w:t>
      </w:r>
    </w:p>
    <w:p>
      <w:pPr>
        <w:spacing w:line="360" w:lineRule="auto"/>
        <w:rPr>
          <w:sz w:val="24"/>
        </w:rPr>
      </w:pPr>
      <w:r>
        <w:rPr>
          <w:rFonts w:hint="eastAsia"/>
          <w:sz w:val="24"/>
        </w:rPr>
        <w:t>③所有丝扣接口其螺纹加工精度要符合有关规定，螺纹应清洁、完整、无断丝缺陷。螺纹根部应有</w:t>
      </w:r>
      <w:r>
        <w:rPr>
          <w:sz w:val="24"/>
        </w:rPr>
        <w:t>2~3</w:t>
      </w:r>
      <w:r>
        <w:rPr>
          <w:rFonts w:hint="eastAsia"/>
          <w:sz w:val="24"/>
        </w:rPr>
        <w:t>扣的外露螺纹，多余的麻丝应清理干净，并做防腐处理；</w:t>
      </w:r>
    </w:p>
    <w:p>
      <w:pPr>
        <w:spacing w:line="360" w:lineRule="auto"/>
        <w:rPr>
          <w:sz w:val="24"/>
        </w:rPr>
      </w:pPr>
      <w:r>
        <w:rPr>
          <w:rFonts w:hint="eastAsia"/>
          <w:sz w:val="24"/>
        </w:rPr>
        <w:t>④卡箍式连接两管口端部应平整、无缝隙，沟槽应均匀，卡紧螺栓后管道应平直，卡箍安装方向应一致；</w:t>
      </w:r>
    </w:p>
    <w:p>
      <w:pPr>
        <w:spacing w:line="360" w:lineRule="auto"/>
        <w:rPr>
          <w:sz w:val="24"/>
        </w:rPr>
      </w:pPr>
      <w:r>
        <w:rPr>
          <w:rFonts w:hint="eastAsia"/>
          <w:sz w:val="24"/>
        </w:rPr>
        <w:t>⑤焊接接口的焊接间隙和焊缝尺寸应符合国家规范及标准的要求；</w:t>
      </w:r>
    </w:p>
    <w:p>
      <w:pPr>
        <w:spacing w:line="360" w:lineRule="auto"/>
        <w:rPr>
          <w:sz w:val="24"/>
        </w:rPr>
      </w:pPr>
      <w:r>
        <w:rPr>
          <w:rFonts w:hint="eastAsia"/>
          <w:sz w:val="24"/>
        </w:rPr>
        <w:t>⑥熔接连接管道的结合面应有一均匀的熔接圈，不得出现局部熔瘤或熔接圈凸凹不均现象；</w:t>
      </w:r>
    </w:p>
    <w:p>
      <w:pPr>
        <w:spacing w:line="360" w:lineRule="auto"/>
        <w:rPr>
          <w:sz w:val="24"/>
        </w:rPr>
      </w:pPr>
      <w:r>
        <w:rPr>
          <w:rFonts w:hint="eastAsia"/>
          <w:sz w:val="24"/>
        </w:rPr>
        <w:t>⑦所有焊接工序须在清洁及干爽的地方进行；</w:t>
      </w:r>
    </w:p>
    <w:p>
      <w:pPr>
        <w:spacing w:line="360" w:lineRule="auto"/>
        <w:rPr>
          <w:sz w:val="24"/>
        </w:rPr>
      </w:pPr>
      <w:r>
        <w:rPr>
          <w:rFonts w:hint="eastAsia"/>
          <w:sz w:val="24"/>
        </w:rPr>
        <w:t>⑧承包商须检查所有焊接工艺，并提供质量证明。业主、监理于需要时可随时进行检验，并切除</w:t>
      </w:r>
      <w:r>
        <w:rPr>
          <w:sz w:val="24"/>
        </w:rPr>
        <w:t>2</w:t>
      </w:r>
      <w:r>
        <w:rPr>
          <w:rFonts w:hint="eastAsia"/>
          <w:sz w:val="24"/>
        </w:rPr>
        <w:t>％焊接接口数量以供检查和测试。如果上述测试的焊接接口的工艺或材料被发现不合格时，可被要求进一步切除更多数量的焊接口直至焊口数量的</w:t>
      </w:r>
      <w:r>
        <w:rPr>
          <w:sz w:val="24"/>
        </w:rPr>
        <w:t>4</w:t>
      </w:r>
      <w:r>
        <w:rPr>
          <w:rFonts w:hint="eastAsia"/>
          <w:sz w:val="24"/>
        </w:rPr>
        <w:t>％。如在这</w:t>
      </w:r>
      <w:r>
        <w:rPr>
          <w:sz w:val="24"/>
        </w:rPr>
        <w:t>4</w:t>
      </w:r>
      <w:r>
        <w:rPr>
          <w:rFonts w:hint="eastAsia"/>
          <w:sz w:val="24"/>
        </w:rPr>
        <w:t>％焊接口内进一步发现不合格的情况时，业主、监理可要求承包商拆除所有焊接部分，并重新作出补救工作。而所有费用和因此延误的工期须由本承包商负责。</w:t>
      </w:r>
    </w:p>
    <w:p>
      <w:pPr>
        <w:spacing w:line="360" w:lineRule="auto"/>
        <w:rPr>
          <w:sz w:val="24"/>
        </w:rPr>
      </w:pPr>
      <w:r>
        <w:rPr>
          <w:sz w:val="24"/>
        </w:rPr>
        <w:t xml:space="preserve">    4)</w:t>
      </w:r>
      <w:r>
        <w:rPr>
          <w:rFonts w:hint="eastAsia"/>
          <w:sz w:val="24"/>
        </w:rPr>
        <w:t>、管道配件</w:t>
      </w:r>
    </w:p>
    <w:p>
      <w:pPr>
        <w:spacing w:line="360" w:lineRule="auto"/>
        <w:rPr>
          <w:sz w:val="24"/>
        </w:rPr>
      </w:pPr>
      <w:r>
        <w:rPr>
          <w:rFonts w:hint="eastAsia"/>
          <w:sz w:val="24"/>
        </w:rPr>
        <w:t>①管道配件应按设计图纸及本附表的要求对各种管道材料提供管道配件；</w:t>
      </w:r>
    </w:p>
    <w:p>
      <w:pPr>
        <w:spacing w:line="360" w:lineRule="auto"/>
        <w:rPr>
          <w:sz w:val="24"/>
        </w:rPr>
      </w:pPr>
      <w:r>
        <w:rPr>
          <w:rFonts w:hint="eastAsia"/>
          <w:sz w:val="24"/>
        </w:rPr>
        <w:t>②管径变径时应采用异径接头，不得以套筒代替；</w:t>
      </w:r>
    </w:p>
    <w:p>
      <w:pPr>
        <w:spacing w:line="360" w:lineRule="auto"/>
        <w:rPr>
          <w:sz w:val="24"/>
        </w:rPr>
      </w:pPr>
      <w:r>
        <w:rPr>
          <w:rFonts w:hint="eastAsia"/>
          <w:sz w:val="24"/>
        </w:rPr>
        <w:t>③室内排水水平管道与水平管道、水平管道与立管的连接应采用</w:t>
      </w:r>
      <w:r>
        <w:rPr>
          <w:sz w:val="24"/>
        </w:rPr>
        <w:t>45</w:t>
      </w:r>
      <w:r>
        <w:rPr>
          <w:rFonts w:hint="eastAsia"/>
          <w:sz w:val="24"/>
        </w:rPr>
        <w:t>°斜三通或</w:t>
      </w:r>
      <w:r>
        <w:rPr>
          <w:sz w:val="24"/>
        </w:rPr>
        <w:t>45</w:t>
      </w:r>
      <w:r>
        <w:rPr>
          <w:rFonts w:hint="eastAsia"/>
          <w:sz w:val="24"/>
        </w:rPr>
        <w:t>°四通和</w:t>
      </w:r>
      <w:r>
        <w:rPr>
          <w:sz w:val="24"/>
        </w:rPr>
        <w:t>90</w:t>
      </w:r>
      <w:r>
        <w:rPr>
          <w:rFonts w:hint="eastAsia"/>
          <w:sz w:val="24"/>
        </w:rPr>
        <w:t>°斜四通；</w:t>
      </w:r>
    </w:p>
    <w:p>
      <w:pPr>
        <w:spacing w:line="360" w:lineRule="auto"/>
        <w:rPr>
          <w:sz w:val="24"/>
        </w:rPr>
      </w:pPr>
      <w:r>
        <w:rPr>
          <w:rFonts w:hint="eastAsia"/>
          <w:sz w:val="24"/>
        </w:rPr>
        <w:t>④排水立管与排出管端部的连接，应采用两个</w:t>
      </w:r>
      <w:r>
        <w:rPr>
          <w:sz w:val="24"/>
        </w:rPr>
        <w:t>45</w:t>
      </w:r>
      <w:r>
        <w:rPr>
          <w:rFonts w:hint="eastAsia"/>
          <w:sz w:val="24"/>
        </w:rPr>
        <w:t>°弯头或曲率半径不小于</w:t>
      </w:r>
      <w:r>
        <w:rPr>
          <w:sz w:val="24"/>
        </w:rPr>
        <w:t>4</w:t>
      </w:r>
      <w:r>
        <w:rPr>
          <w:rFonts w:hint="eastAsia"/>
          <w:sz w:val="24"/>
        </w:rPr>
        <w:t>倍管径的</w:t>
      </w:r>
      <w:r>
        <w:rPr>
          <w:sz w:val="24"/>
        </w:rPr>
        <w:t>90</w:t>
      </w:r>
      <w:r>
        <w:rPr>
          <w:rFonts w:hint="eastAsia"/>
          <w:sz w:val="24"/>
        </w:rPr>
        <w:t>°弯头连接；</w:t>
      </w:r>
    </w:p>
    <w:p>
      <w:pPr>
        <w:spacing w:line="360" w:lineRule="auto"/>
        <w:rPr>
          <w:sz w:val="24"/>
        </w:rPr>
      </w:pPr>
      <w:r>
        <w:rPr>
          <w:rFonts w:hint="eastAsia"/>
          <w:sz w:val="24"/>
        </w:rPr>
        <w:t>⑤构造内无存水弯的卫生器具与生活污水管道或其他可能产生有害气体的排水管道连接时，必须在排水口以下设存水弯。接地漏、蹲式大便器及拖布池的排水口须安装存水弯。存水弯的有效水封深度不得小于</w:t>
      </w:r>
      <w:r>
        <w:rPr>
          <w:sz w:val="24"/>
        </w:rPr>
        <w:t>50mm</w:t>
      </w:r>
      <w:r>
        <w:rPr>
          <w:rFonts w:hint="eastAsia"/>
          <w:sz w:val="24"/>
        </w:rPr>
        <w:t>。</w:t>
      </w:r>
    </w:p>
    <w:p>
      <w:pPr>
        <w:spacing w:line="360" w:lineRule="auto"/>
        <w:rPr>
          <w:sz w:val="24"/>
        </w:rPr>
      </w:pPr>
      <w:r>
        <w:rPr>
          <w:sz w:val="24"/>
        </w:rPr>
        <w:t xml:space="preserve">    5)</w:t>
      </w:r>
      <w:r>
        <w:rPr>
          <w:rFonts w:hint="eastAsia"/>
          <w:sz w:val="24"/>
        </w:rPr>
        <w:t>、接管垫圈</w:t>
      </w:r>
    </w:p>
    <w:p>
      <w:pPr>
        <w:spacing w:line="360" w:lineRule="auto"/>
        <w:rPr>
          <w:sz w:val="24"/>
        </w:rPr>
      </w:pPr>
      <w:r>
        <w:rPr>
          <w:rFonts w:hint="eastAsia"/>
          <w:sz w:val="24"/>
        </w:rPr>
        <w:t>①进行法兰连接需采用氯丁合成橡胶制成的符合工艺要求厚度的</w:t>
      </w:r>
      <w:r>
        <w:rPr>
          <w:sz w:val="24"/>
        </w:rPr>
        <w:t>O</w:t>
      </w:r>
      <w:r>
        <w:rPr>
          <w:rFonts w:hint="eastAsia"/>
          <w:sz w:val="24"/>
        </w:rPr>
        <w:t>型垫圈。不得采用含有石棉的垫圈；</w:t>
      </w:r>
    </w:p>
    <w:p>
      <w:pPr>
        <w:spacing w:line="360" w:lineRule="auto"/>
        <w:rPr>
          <w:sz w:val="24"/>
        </w:rPr>
      </w:pPr>
      <w:r>
        <w:rPr>
          <w:rFonts w:hint="eastAsia"/>
          <w:sz w:val="24"/>
        </w:rPr>
        <w:t>②不同金属管之间的法兰连接：在法兰、螺栓和螺帽之间分别采用绝缘垫圈、套环和垫片；</w:t>
      </w:r>
    </w:p>
    <w:p>
      <w:pPr>
        <w:spacing w:line="360" w:lineRule="auto"/>
        <w:rPr>
          <w:sz w:val="24"/>
        </w:rPr>
      </w:pPr>
      <w:r>
        <w:rPr>
          <w:rFonts w:hint="eastAsia"/>
          <w:sz w:val="24"/>
        </w:rPr>
        <w:t>③垫圈应适用于厂家建议所安装系统的温度、和压力设置。</w:t>
      </w:r>
    </w:p>
    <w:p>
      <w:pPr>
        <w:spacing w:line="360" w:lineRule="auto"/>
        <w:rPr>
          <w:sz w:val="24"/>
        </w:rPr>
      </w:pPr>
      <w:r>
        <w:rPr>
          <w:sz w:val="24"/>
        </w:rPr>
        <w:t xml:space="preserve">    6)</w:t>
      </w:r>
      <w:r>
        <w:rPr>
          <w:rFonts w:hint="eastAsia"/>
          <w:sz w:val="24"/>
        </w:rPr>
        <w:t>、管道支架</w:t>
      </w:r>
    </w:p>
    <w:p>
      <w:pPr>
        <w:spacing w:line="360" w:lineRule="auto"/>
        <w:rPr>
          <w:sz w:val="24"/>
        </w:rPr>
      </w:pPr>
      <w:r>
        <w:rPr>
          <w:rFonts w:hint="eastAsia"/>
          <w:sz w:val="24"/>
        </w:rPr>
        <w:t>①提供所有进行系统安装所需的吊架、支架、导向支架和固定支撑等。各类支架的强度及设计应在允许应力范围之内扩展和收缩；</w:t>
      </w:r>
    </w:p>
    <w:p>
      <w:pPr>
        <w:tabs>
          <w:tab w:val="left" w:pos="540"/>
        </w:tabs>
        <w:spacing w:line="360" w:lineRule="auto"/>
        <w:rPr>
          <w:sz w:val="24"/>
        </w:rPr>
      </w:pPr>
      <w:r>
        <w:rPr>
          <w:rFonts w:hint="eastAsia"/>
          <w:sz w:val="24"/>
        </w:rPr>
        <w:t>②所有管道支架均应为钢制，可调节高度，且应涂上防锈底漆和罩面漆。钢类管件应采用钢类管码；铜类管件及塑料管件应采用钢类管码外，并需于管码外层包上聚氯乙烯垫。装设在外墙的排水管应采用不锈钢制管码、螺栓、垫圈及螺帽。阀门附近及其他大管径管道上需支撑的配件均应提供附加支架。对水泵类连接等亦应提供附加支架，以防止过度的应力作用于设备上；</w:t>
      </w:r>
    </w:p>
    <w:p>
      <w:pPr>
        <w:spacing w:line="360" w:lineRule="auto"/>
        <w:rPr>
          <w:sz w:val="24"/>
        </w:rPr>
      </w:pPr>
      <w:r>
        <w:rPr>
          <w:rFonts w:hint="eastAsia"/>
          <w:sz w:val="24"/>
        </w:rPr>
        <w:t>③除另有说明外，各支架之间的间距都应按设计及施工验收规范执行；</w:t>
      </w:r>
    </w:p>
    <w:p>
      <w:pPr>
        <w:spacing w:line="360" w:lineRule="auto"/>
        <w:rPr>
          <w:sz w:val="24"/>
        </w:rPr>
      </w:pPr>
      <w:r>
        <w:rPr>
          <w:rFonts w:hint="eastAsia"/>
          <w:sz w:val="24"/>
        </w:rPr>
        <w:t>④所有固定销件和螺栓必须配有弹簧垫圈和螺帽；</w:t>
      </w:r>
    </w:p>
    <w:p>
      <w:pPr>
        <w:spacing w:line="360" w:lineRule="auto"/>
        <w:rPr>
          <w:sz w:val="24"/>
        </w:rPr>
      </w:pPr>
      <w:r>
        <w:rPr>
          <w:rFonts w:hint="eastAsia"/>
          <w:sz w:val="24"/>
        </w:rPr>
        <w:t>⑤所有水平和垂直的管道必须在适当位置提供管道导向支架，使能有效地控制因热胀冷缩产生的移动；</w:t>
      </w:r>
    </w:p>
    <w:p>
      <w:pPr>
        <w:spacing w:line="360" w:lineRule="auto"/>
        <w:rPr>
          <w:sz w:val="24"/>
        </w:rPr>
      </w:pPr>
      <w:r>
        <w:rPr>
          <w:rFonts w:hint="eastAsia"/>
          <w:sz w:val="24"/>
        </w:rPr>
        <w:t>⑥管道导向支架的布置和间距须根据伸缩器制造商的建议设置导向支架的布置和其构造细节的装配图须提交监理工程师确认；</w:t>
      </w:r>
    </w:p>
    <w:p>
      <w:pPr>
        <w:spacing w:line="360" w:lineRule="auto"/>
        <w:rPr>
          <w:sz w:val="24"/>
        </w:rPr>
      </w:pPr>
      <w:r>
        <w:rPr>
          <w:rFonts w:hint="eastAsia"/>
          <w:sz w:val="24"/>
        </w:rPr>
        <w:t>⑦所有管道系统改变方向处、伸缩器以及膨胀管环处，应设管道固定支撑。以便吸收因管道膨胀或收缩和内部压力所引致的应力，并把这些应力传递到结构上；</w:t>
      </w:r>
    </w:p>
    <w:p>
      <w:pPr>
        <w:spacing w:line="360" w:lineRule="auto"/>
        <w:rPr>
          <w:sz w:val="24"/>
        </w:rPr>
      </w:pPr>
      <w:r>
        <w:rPr>
          <w:rFonts w:hint="eastAsia"/>
          <w:sz w:val="24"/>
        </w:rPr>
        <w:t>⑧所有管道支架均应安装在承重结构上，并应能承受运行及进行水压测试时所产生的较高推力。</w:t>
      </w:r>
    </w:p>
    <w:p>
      <w:pPr>
        <w:spacing w:line="360" w:lineRule="auto"/>
        <w:rPr>
          <w:sz w:val="24"/>
        </w:rPr>
      </w:pPr>
      <w:r>
        <w:rPr>
          <w:sz w:val="24"/>
        </w:rPr>
        <w:t xml:space="preserve">    7)</w:t>
      </w:r>
      <w:r>
        <w:rPr>
          <w:rFonts w:hint="eastAsia"/>
          <w:sz w:val="24"/>
        </w:rPr>
        <w:t>、管道安装</w:t>
      </w:r>
    </w:p>
    <w:p>
      <w:pPr>
        <w:spacing w:line="360" w:lineRule="auto"/>
        <w:rPr>
          <w:sz w:val="24"/>
        </w:rPr>
      </w:pPr>
      <w:r>
        <w:rPr>
          <w:sz w:val="24"/>
        </w:rPr>
        <w:t xml:space="preserve">    (1)</w:t>
      </w:r>
      <w:r>
        <w:rPr>
          <w:rFonts w:hint="eastAsia"/>
          <w:sz w:val="24"/>
        </w:rPr>
        <w:t>、在每天管道安装施工后，应对管道提供适当的保护，以防湿气或其他杂物污染整个系统或堵塞管道。</w:t>
      </w:r>
    </w:p>
    <w:p>
      <w:pPr>
        <w:spacing w:line="360" w:lineRule="auto"/>
        <w:rPr>
          <w:sz w:val="24"/>
        </w:rPr>
      </w:pPr>
      <w:r>
        <w:rPr>
          <w:sz w:val="24"/>
        </w:rPr>
        <w:t xml:space="preserve">    (2)</w:t>
      </w:r>
      <w:r>
        <w:rPr>
          <w:rFonts w:hint="eastAsia"/>
          <w:sz w:val="24"/>
        </w:rPr>
        <w:t>、管道安装应与墙壁平行，并保持室内净空要求和保持通道畅通。</w:t>
      </w:r>
    </w:p>
    <w:p>
      <w:pPr>
        <w:spacing w:line="360" w:lineRule="auto"/>
        <w:rPr>
          <w:sz w:val="24"/>
        </w:rPr>
      </w:pPr>
      <w:r>
        <w:rPr>
          <w:sz w:val="24"/>
        </w:rPr>
        <w:t xml:space="preserve">    (3)</w:t>
      </w:r>
      <w:r>
        <w:rPr>
          <w:rFonts w:hint="eastAsia"/>
          <w:sz w:val="24"/>
        </w:rPr>
        <w:t>、管道切割应采用割管器，切口应平滑、精巧，且不损坏管件。切口端部应铰口以去除毛口。</w:t>
      </w:r>
    </w:p>
    <w:p>
      <w:pPr>
        <w:spacing w:line="360" w:lineRule="auto"/>
        <w:rPr>
          <w:sz w:val="24"/>
        </w:rPr>
      </w:pPr>
      <w:r>
        <w:rPr>
          <w:sz w:val="24"/>
        </w:rPr>
        <w:t xml:space="preserve">    (4)</w:t>
      </w:r>
      <w:r>
        <w:rPr>
          <w:rFonts w:hint="eastAsia"/>
          <w:sz w:val="24"/>
        </w:rPr>
        <w:t>、提供足够的坡度以保证系统能适当地排水和排气，在预留管道清扫口时，须保证清扫口前方无障碍。</w:t>
      </w:r>
    </w:p>
    <w:p>
      <w:pPr>
        <w:tabs>
          <w:tab w:val="left" w:pos="540"/>
        </w:tabs>
        <w:spacing w:line="360" w:lineRule="auto"/>
        <w:rPr>
          <w:sz w:val="24"/>
        </w:rPr>
      </w:pPr>
      <w:r>
        <w:rPr>
          <w:sz w:val="24"/>
        </w:rPr>
        <w:t xml:space="preserve">    (5)</w:t>
      </w:r>
      <w:r>
        <w:rPr>
          <w:rFonts w:hint="eastAsia"/>
          <w:sz w:val="24"/>
        </w:rPr>
        <w:t>、水平安装的管道上的阀门，其阀杆应装成水平或垂直向上。</w:t>
      </w:r>
    </w:p>
    <w:p>
      <w:pPr>
        <w:spacing w:line="360" w:lineRule="auto"/>
        <w:rPr>
          <w:sz w:val="24"/>
        </w:rPr>
      </w:pPr>
      <w:r>
        <w:rPr>
          <w:sz w:val="24"/>
        </w:rPr>
        <w:t xml:space="preserve">    (6)</w:t>
      </w:r>
      <w:r>
        <w:rPr>
          <w:rFonts w:hint="eastAsia"/>
          <w:sz w:val="24"/>
        </w:rPr>
        <w:t>、在系统的适当位置按设计或施工规范的要求设置排水阀或自动排气阀。</w:t>
      </w:r>
    </w:p>
    <w:p>
      <w:pPr>
        <w:spacing w:line="360" w:lineRule="auto"/>
        <w:rPr>
          <w:sz w:val="24"/>
        </w:rPr>
      </w:pPr>
      <w:r>
        <w:rPr>
          <w:sz w:val="24"/>
        </w:rPr>
        <w:t xml:space="preserve">    (7)|</w:t>
      </w:r>
      <w:r>
        <w:rPr>
          <w:rFonts w:hint="eastAsia"/>
          <w:sz w:val="24"/>
        </w:rPr>
        <w:t>不论是否指明，需要进行排水、隔离或分段的位置必须设置闸阀或蝶阀，每个阀门须加上标签以便识别。</w:t>
      </w:r>
    </w:p>
    <w:p>
      <w:pPr>
        <w:spacing w:line="360" w:lineRule="auto"/>
        <w:rPr>
          <w:sz w:val="24"/>
        </w:rPr>
      </w:pPr>
      <w:r>
        <w:rPr>
          <w:sz w:val="24"/>
        </w:rPr>
        <w:t xml:space="preserve">    (8)</w:t>
      </w:r>
      <w:r>
        <w:rPr>
          <w:rFonts w:hint="eastAsia"/>
          <w:sz w:val="24"/>
        </w:rPr>
        <w:t>、与设备连接的管道应独立地设置支撑，使设备不致因管道重量或膨胀而承受应力。</w:t>
      </w:r>
    </w:p>
    <w:p>
      <w:pPr>
        <w:spacing w:line="360" w:lineRule="auto"/>
        <w:rPr>
          <w:sz w:val="24"/>
        </w:rPr>
      </w:pPr>
      <w:r>
        <w:rPr>
          <w:sz w:val="24"/>
        </w:rPr>
        <w:t xml:space="preserve">    (9)</w:t>
      </w:r>
      <w:r>
        <w:rPr>
          <w:rFonts w:hint="eastAsia"/>
          <w:sz w:val="24"/>
        </w:rPr>
        <w:t>、当管道跨越建筑物的伸缩缝或有可能移动的地方时，应提供伸缩器</w:t>
      </w:r>
      <w:r>
        <w:rPr>
          <w:sz w:val="24"/>
        </w:rPr>
        <w:t>(</w:t>
      </w:r>
      <w:r>
        <w:rPr>
          <w:rFonts w:hint="eastAsia"/>
          <w:sz w:val="24"/>
        </w:rPr>
        <w:t>伸缩器应为不锈钢多波纹式，侧向和轴向移动不应小于±</w:t>
      </w:r>
      <w:r>
        <w:rPr>
          <w:sz w:val="24"/>
        </w:rPr>
        <w:t>8</w:t>
      </w:r>
      <w:r>
        <w:rPr>
          <w:rFonts w:hint="eastAsia"/>
          <w:sz w:val="24"/>
        </w:rPr>
        <w:t>毫米</w:t>
      </w:r>
      <w:r>
        <w:rPr>
          <w:sz w:val="24"/>
        </w:rPr>
        <w:t>)</w:t>
      </w:r>
      <w:r>
        <w:rPr>
          <w:rFonts w:hint="eastAsia"/>
          <w:sz w:val="24"/>
        </w:rPr>
        <w:t>，用以抵御任何造成移动的应力。</w:t>
      </w:r>
    </w:p>
    <w:p>
      <w:pPr>
        <w:spacing w:line="360" w:lineRule="auto"/>
        <w:ind w:firstLine="435"/>
        <w:rPr>
          <w:sz w:val="24"/>
        </w:rPr>
      </w:pPr>
      <w:r>
        <w:rPr>
          <w:sz w:val="24"/>
        </w:rPr>
        <w:t>(10)</w:t>
      </w:r>
      <w:r>
        <w:rPr>
          <w:rFonts w:hint="eastAsia"/>
          <w:sz w:val="24"/>
        </w:rPr>
        <w:t>、所有排水管道必须按垂线安装，且必须整齐排列，交叉处减致最少。</w:t>
      </w:r>
    </w:p>
    <w:p>
      <w:pPr>
        <w:spacing w:line="360" w:lineRule="auto"/>
        <w:ind w:firstLine="435"/>
        <w:rPr>
          <w:sz w:val="24"/>
        </w:rPr>
      </w:pPr>
      <w:r>
        <w:rPr>
          <w:sz w:val="24"/>
        </w:rPr>
        <w:t>(11)</w:t>
      </w:r>
      <w:r>
        <w:rPr>
          <w:rFonts w:hint="eastAsia"/>
          <w:sz w:val="24"/>
        </w:rPr>
        <w:t>、由室内通向室外排水检查井的排水管，井内引入管应高于排出管或两管顶相平，并有不小于</w:t>
      </w:r>
      <w:r>
        <w:rPr>
          <w:sz w:val="24"/>
        </w:rPr>
        <w:t>90</w:t>
      </w:r>
      <w:r>
        <w:rPr>
          <w:rFonts w:hint="eastAsia"/>
          <w:sz w:val="24"/>
        </w:rPr>
        <w:t>°的水流转角，如跌落差大于</w:t>
      </w:r>
      <w:r>
        <w:rPr>
          <w:sz w:val="24"/>
        </w:rPr>
        <w:t>300mm</w:t>
      </w:r>
      <w:r>
        <w:rPr>
          <w:rFonts w:hint="eastAsia"/>
          <w:sz w:val="24"/>
        </w:rPr>
        <w:t>可不受角度限制。</w:t>
      </w:r>
    </w:p>
    <w:p>
      <w:pPr>
        <w:spacing w:line="360" w:lineRule="auto"/>
        <w:ind w:firstLine="435"/>
        <w:rPr>
          <w:sz w:val="24"/>
        </w:rPr>
      </w:pPr>
      <w:r>
        <w:rPr>
          <w:sz w:val="24"/>
        </w:rPr>
        <w:t>(12)</w:t>
      </w:r>
      <w:r>
        <w:rPr>
          <w:rFonts w:hint="eastAsia"/>
          <w:sz w:val="24"/>
        </w:rPr>
        <w:t>、在铺设地下排水管道之前，承包商应检查现有的控制点标高，当发现有差异时应立即通知监理工程师。</w:t>
      </w:r>
    </w:p>
    <w:p>
      <w:pPr>
        <w:spacing w:line="360" w:lineRule="auto"/>
        <w:ind w:firstLine="435"/>
        <w:rPr>
          <w:sz w:val="24"/>
        </w:rPr>
      </w:pPr>
      <w:r>
        <w:rPr>
          <w:sz w:val="24"/>
        </w:rPr>
        <w:t>(13)</w:t>
      </w:r>
      <w:r>
        <w:rPr>
          <w:rFonts w:hint="eastAsia"/>
          <w:sz w:val="24"/>
        </w:rPr>
        <w:t>、所有铺设在地下的镀锌钢管，应做特加强级防腐。埋藏于混凝土、砖墙内的镀锌钢管做油漆或沥青防腐以作保护。</w:t>
      </w:r>
    </w:p>
    <w:p>
      <w:pPr>
        <w:spacing w:line="360" w:lineRule="auto"/>
        <w:ind w:firstLine="435"/>
        <w:rPr>
          <w:sz w:val="24"/>
        </w:rPr>
      </w:pPr>
      <w:r>
        <w:rPr>
          <w:sz w:val="24"/>
        </w:rPr>
        <w:t>(14)</w:t>
      </w:r>
      <w:r>
        <w:rPr>
          <w:rFonts w:hint="eastAsia"/>
          <w:sz w:val="24"/>
        </w:rPr>
        <w:t>、所有暗装的管道，不论其长度多少，都必须在安装妥后立刻进行水压实验以检查管道强度及严密性。经有关人员现场检测合格后通知监理工程师验收及确认，本承包商才可以书面通知土建专业进行封闭工作。因管道测试不合格而引致土建承包商延误封闭工作，所有损失由本承包商负责。</w:t>
      </w:r>
    </w:p>
    <w:p>
      <w:pPr>
        <w:spacing w:line="360" w:lineRule="auto"/>
        <w:rPr>
          <w:sz w:val="24"/>
        </w:rPr>
      </w:pPr>
      <w:r>
        <w:rPr>
          <w:sz w:val="24"/>
        </w:rPr>
        <w:t xml:space="preserve">    8)</w:t>
      </w:r>
      <w:r>
        <w:rPr>
          <w:rFonts w:hint="eastAsia"/>
          <w:sz w:val="24"/>
        </w:rPr>
        <w:t>、管道套管</w:t>
      </w:r>
    </w:p>
    <w:p>
      <w:pPr>
        <w:spacing w:line="360" w:lineRule="auto"/>
        <w:rPr>
          <w:sz w:val="24"/>
        </w:rPr>
      </w:pPr>
      <w:r>
        <w:rPr>
          <w:rFonts w:hint="eastAsia"/>
          <w:sz w:val="24"/>
        </w:rPr>
        <w:t>①管道穿过墙壁和楼板应设置金属或塑料套管</w:t>
      </w:r>
      <w:r>
        <w:rPr>
          <w:sz w:val="24"/>
        </w:rPr>
        <w:t>,</w:t>
      </w:r>
      <w:r>
        <w:rPr>
          <w:rFonts w:hint="eastAsia" w:ascii="宋体" w:hAnsi="宋体"/>
          <w:color w:val="000000"/>
          <w:sz w:val="24"/>
        </w:rPr>
        <w:t>穿梁及剪力墙套管必须为钢套管</w:t>
      </w:r>
      <w:r>
        <w:rPr>
          <w:rFonts w:hint="eastAsia"/>
          <w:sz w:val="24"/>
        </w:rPr>
        <w:t>。安装在楼板内的套管，其顶部应高出装饰地面</w:t>
      </w:r>
      <w:r>
        <w:rPr>
          <w:sz w:val="24"/>
        </w:rPr>
        <w:t>20mm</w:t>
      </w:r>
      <w:r>
        <w:rPr>
          <w:rFonts w:hint="eastAsia"/>
          <w:sz w:val="24"/>
        </w:rPr>
        <w:t>；安装在卫生间及厨房内的套管，其顶部应高出装饰地面</w:t>
      </w:r>
      <w:r>
        <w:rPr>
          <w:sz w:val="24"/>
        </w:rPr>
        <w:t>50mm</w:t>
      </w:r>
      <w:r>
        <w:rPr>
          <w:rFonts w:hint="eastAsia"/>
          <w:sz w:val="24"/>
        </w:rPr>
        <w:t>，底部应与楼板面相平，安装在墙壁内的套管，其两端与装饰面相平。</w:t>
      </w:r>
    </w:p>
    <w:p>
      <w:pPr>
        <w:spacing w:line="360" w:lineRule="auto"/>
        <w:rPr>
          <w:sz w:val="24"/>
        </w:rPr>
      </w:pPr>
      <w:r>
        <w:rPr>
          <w:rFonts w:hint="eastAsia"/>
          <w:sz w:val="24"/>
        </w:rPr>
        <w:t>②穿过楼板的套管与管道之间缝隙应用阻燃密实材料和防水油膏填实，端面光滑。</w:t>
      </w:r>
    </w:p>
    <w:p>
      <w:pPr>
        <w:spacing w:line="360" w:lineRule="auto"/>
        <w:rPr>
          <w:sz w:val="24"/>
        </w:rPr>
      </w:pPr>
      <w:r>
        <w:rPr>
          <w:rFonts w:hint="eastAsia"/>
          <w:sz w:val="24"/>
        </w:rPr>
        <w:t>③穿墙套管与管道之间缝隙宜用阻燃密实材料填实，且端面应光滑。管道的接口不得设在套管内。</w:t>
      </w:r>
    </w:p>
    <w:p>
      <w:pPr>
        <w:spacing w:line="360" w:lineRule="auto"/>
        <w:rPr>
          <w:sz w:val="24"/>
        </w:rPr>
      </w:pPr>
      <w:r>
        <w:rPr>
          <w:sz w:val="24"/>
        </w:rPr>
        <w:t xml:space="preserve">    9)</w:t>
      </w:r>
      <w:r>
        <w:rPr>
          <w:rFonts w:hint="eastAsia"/>
          <w:sz w:val="24"/>
        </w:rPr>
        <w:t>、安装</w:t>
      </w:r>
    </w:p>
    <w:p>
      <w:pPr>
        <w:spacing w:line="360" w:lineRule="auto"/>
        <w:rPr>
          <w:sz w:val="24"/>
        </w:rPr>
      </w:pPr>
      <w:r>
        <w:rPr>
          <w:rFonts w:hint="eastAsia"/>
          <w:sz w:val="24"/>
        </w:rPr>
        <w:t>①阀门安装前应按规范要求作强度和严密性实验。安装在主干管上起切断作用的闭路阀门，应逐个作强度和严密性实验。</w:t>
      </w:r>
    </w:p>
    <w:p>
      <w:pPr>
        <w:spacing w:line="360" w:lineRule="auto"/>
        <w:rPr>
          <w:sz w:val="24"/>
        </w:rPr>
      </w:pPr>
      <w:r>
        <w:rPr>
          <w:rFonts w:hint="eastAsia"/>
          <w:sz w:val="24"/>
        </w:rPr>
        <w:t>②阀门的强度和严密性实验，应符合以下规定：阀门的强度实验压力为公称压力的</w:t>
      </w:r>
      <w:r>
        <w:rPr>
          <w:sz w:val="24"/>
        </w:rPr>
        <w:t>1.5</w:t>
      </w:r>
      <w:r>
        <w:rPr>
          <w:rFonts w:hint="eastAsia"/>
          <w:sz w:val="24"/>
        </w:rPr>
        <w:t>倍；严密性实验压力为公称压力的</w:t>
      </w:r>
      <w:r>
        <w:rPr>
          <w:sz w:val="24"/>
        </w:rPr>
        <w:t>1.1</w:t>
      </w:r>
      <w:r>
        <w:rPr>
          <w:rFonts w:hint="eastAsia"/>
          <w:sz w:val="24"/>
        </w:rPr>
        <w:t>倍；实验压力在实验持续时间内应保持不变，且壳体填料及阀瓣密封面无渗漏。</w:t>
      </w:r>
    </w:p>
    <w:p>
      <w:pPr>
        <w:spacing w:line="360" w:lineRule="auto"/>
        <w:rPr>
          <w:sz w:val="24"/>
        </w:rPr>
      </w:pPr>
      <w:r>
        <w:rPr>
          <w:rFonts w:hint="eastAsia"/>
          <w:sz w:val="24"/>
        </w:rPr>
        <w:t>③阀门试压的实验持续时间应按</w:t>
      </w:r>
      <w:r>
        <w:rPr>
          <w:sz w:val="24"/>
        </w:rPr>
        <w:t>GB50242-2002</w:t>
      </w:r>
      <w:r>
        <w:rPr>
          <w:rFonts w:hint="eastAsia"/>
          <w:sz w:val="24"/>
        </w:rPr>
        <w:t>执行。</w:t>
      </w:r>
    </w:p>
    <w:p>
      <w:pPr>
        <w:spacing w:line="360" w:lineRule="auto"/>
        <w:ind w:firstLine="435"/>
        <w:rPr>
          <w:sz w:val="24"/>
        </w:rPr>
      </w:pPr>
      <w:r>
        <w:rPr>
          <w:rFonts w:hint="eastAsia"/>
          <w:sz w:val="24"/>
        </w:rPr>
        <w:t>④阀门的设置要有足够的维修间距。</w:t>
      </w:r>
    </w:p>
    <w:p>
      <w:pPr>
        <w:spacing w:line="360" w:lineRule="auto"/>
        <w:rPr>
          <w:sz w:val="24"/>
        </w:rPr>
      </w:pPr>
      <w:r>
        <w:rPr>
          <w:rFonts w:hint="eastAsia"/>
          <w:sz w:val="24"/>
        </w:rPr>
        <w:t>⑤止回阀采用消声缓闭止回阀。阀门的阀轴弹簧及圆盘应为</w:t>
      </w:r>
      <w:r>
        <w:rPr>
          <w:sz w:val="24"/>
        </w:rPr>
        <w:t>316</w:t>
      </w:r>
      <w:r>
        <w:rPr>
          <w:rFonts w:hint="eastAsia"/>
          <w:sz w:val="24"/>
        </w:rPr>
        <w:t>不锈钢。安装在各水泵出口和水箱进、出口处及需要的位置。</w:t>
      </w:r>
    </w:p>
    <w:p>
      <w:pPr>
        <w:spacing w:line="360" w:lineRule="auto"/>
        <w:rPr>
          <w:sz w:val="24"/>
        </w:rPr>
      </w:pPr>
    </w:p>
    <w:p>
      <w:pPr>
        <w:spacing w:line="360" w:lineRule="auto"/>
        <w:jc w:val="center"/>
        <w:rPr>
          <w:b/>
          <w:sz w:val="32"/>
          <w:szCs w:val="32"/>
        </w:rPr>
      </w:pPr>
      <w:r>
        <w:rPr>
          <w:rFonts w:hint="eastAsia"/>
          <w:b/>
          <w:sz w:val="32"/>
          <w:szCs w:val="32"/>
        </w:rPr>
        <w:t xml:space="preserve">第三节 </w:t>
      </w:r>
      <w:r>
        <w:rPr>
          <w:b/>
          <w:sz w:val="32"/>
          <w:szCs w:val="32"/>
        </w:rPr>
        <w:t xml:space="preserve"> </w:t>
      </w:r>
      <w:r>
        <w:rPr>
          <w:rFonts w:hint="eastAsia"/>
          <w:b/>
          <w:sz w:val="32"/>
          <w:szCs w:val="32"/>
        </w:rPr>
        <w:t>阀门与配件</w:t>
      </w:r>
    </w:p>
    <w:p>
      <w:pPr>
        <w:spacing w:line="360" w:lineRule="auto"/>
        <w:ind w:firstLine="480" w:firstLineChars="200"/>
        <w:rPr>
          <w:rFonts w:ascii="宋体" w:hAnsi="宋体"/>
          <w:color w:val="000000"/>
          <w:sz w:val="24"/>
          <w:szCs w:val="24"/>
        </w:rPr>
      </w:pPr>
    </w:p>
    <w:p>
      <w:pPr>
        <w:spacing w:line="360" w:lineRule="auto"/>
        <w:rPr>
          <w:rFonts w:ascii="宋体" w:hAnsi="宋体"/>
          <w:color w:val="000000"/>
          <w:sz w:val="24"/>
        </w:rPr>
      </w:pPr>
      <w:r>
        <w:rPr>
          <w:rFonts w:hint="eastAsia" w:ascii="宋体" w:hAnsi="宋体"/>
          <w:color w:val="000000"/>
          <w:sz w:val="24"/>
        </w:rPr>
        <w:t>本节说明阀门与配件在管道工程的规格、安装及调试所需的各项技术要求。</w:t>
      </w:r>
    </w:p>
    <w:p>
      <w:pPr>
        <w:autoSpaceDE w:val="0"/>
        <w:autoSpaceDN w:val="0"/>
        <w:adjustRightInd w:val="0"/>
        <w:spacing w:line="360" w:lineRule="auto"/>
        <w:ind w:firstLine="482" w:firstLineChars="200"/>
        <w:outlineLvl w:val="0"/>
        <w:rPr>
          <w:rFonts w:ascii="宋体" w:hAnsi="宋体"/>
          <w:b/>
          <w:color w:val="000000"/>
          <w:sz w:val="24"/>
        </w:rPr>
      </w:pPr>
      <w:r>
        <w:rPr>
          <w:rFonts w:hint="eastAsia" w:ascii="宋体" w:hAnsi="宋体"/>
          <w:b/>
          <w:color w:val="000000"/>
          <w:sz w:val="24"/>
        </w:rPr>
        <w:t>一、基本规定</w:t>
      </w:r>
    </w:p>
    <w:p>
      <w:pPr>
        <w:spacing w:line="360" w:lineRule="auto"/>
        <w:ind w:firstLine="480" w:firstLineChars="200"/>
        <w:rPr>
          <w:rFonts w:ascii="宋体" w:hAnsi="宋体"/>
          <w:color w:val="000000"/>
          <w:sz w:val="24"/>
        </w:rPr>
      </w:pPr>
      <w:r>
        <w:rPr>
          <w:rFonts w:hint="eastAsia" w:ascii="宋体" w:hAnsi="宋体"/>
          <w:color w:val="000000"/>
          <w:sz w:val="24"/>
        </w:rPr>
        <w:t>1、所有送抵工地的阀门均应符合设计及招标文件要求，并有标识以利辨别其等级。</w:t>
      </w:r>
    </w:p>
    <w:p>
      <w:pPr>
        <w:spacing w:line="360" w:lineRule="auto"/>
        <w:ind w:firstLine="480" w:firstLineChars="200"/>
        <w:rPr>
          <w:rFonts w:ascii="宋体" w:hAnsi="宋体"/>
          <w:color w:val="000000"/>
          <w:sz w:val="24"/>
        </w:rPr>
      </w:pPr>
      <w:r>
        <w:rPr>
          <w:rFonts w:hint="eastAsia" w:ascii="宋体" w:hAnsi="宋体"/>
          <w:color w:val="000000"/>
          <w:sz w:val="24"/>
        </w:rPr>
        <w:t>2、在运送、储存及安装阀门与配件的过程中须给予适当的保护，以防异物进入系统内。</w:t>
      </w:r>
    </w:p>
    <w:p>
      <w:pPr>
        <w:spacing w:line="360" w:lineRule="auto"/>
        <w:ind w:firstLine="480" w:firstLineChars="200"/>
        <w:rPr>
          <w:rFonts w:ascii="宋体" w:hAnsi="宋体"/>
          <w:color w:val="000000"/>
          <w:sz w:val="24"/>
        </w:rPr>
      </w:pPr>
      <w:r>
        <w:rPr>
          <w:rFonts w:hint="eastAsia" w:ascii="宋体" w:hAnsi="宋体"/>
          <w:color w:val="000000"/>
          <w:sz w:val="24"/>
        </w:rPr>
        <w:t>3、为所有设备提供压力表、排水阀、排气阀及实验龙头。为所有设备提供隔离阀。</w:t>
      </w:r>
    </w:p>
    <w:p>
      <w:pPr>
        <w:spacing w:line="360" w:lineRule="auto"/>
        <w:ind w:firstLine="480" w:firstLineChars="200"/>
        <w:rPr>
          <w:rFonts w:ascii="宋体" w:hAnsi="宋体"/>
          <w:color w:val="000000"/>
          <w:sz w:val="24"/>
        </w:rPr>
      </w:pPr>
      <w:r>
        <w:rPr>
          <w:rFonts w:hint="eastAsia" w:ascii="宋体" w:hAnsi="宋体"/>
          <w:color w:val="000000"/>
          <w:sz w:val="24"/>
        </w:rPr>
        <w:t>4、在系统需要平衡处如分支管、旁通管道等处安装球形调节阀。</w:t>
      </w:r>
    </w:p>
    <w:p>
      <w:pPr>
        <w:spacing w:line="360" w:lineRule="auto"/>
        <w:ind w:firstLine="480" w:firstLineChars="200"/>
        <w:rPr>
          <w:rFonts w:ascii="宋体" w:hAnsi="宋体"/>
          <w:color w:val="000000"/>
          <w:sz w:val="24"/>
        </w:rPr>
      </w:pPr>
      <w:r>
        <w:rPr>
          <w:rFonts w:hint="eastAsia" w:ascii="宋体" w:hAnsi="宋体"/>
          <w:color w:val="000000"/>
          <w:sz w:val="24"/>
        </w:rPr>
        <w:t>5、阀门的设置要提供足够的维修间距，并应在进行测试压力情况下无渗漏现象。</w:t>
      </w:r>
    </w:p>
    <w:p>
      <w:pPr>
        <w:spacing w:line="360" w:lineRule="auto"/>
        <w:ind w:firstLine="480" w:firstLineChars="200"/>
        <w:rPr>
          <w:rFonts w:ascii="宋体" w:hAnsi="宋体"/>
          <w:color w:val="000000"/>
          <w:sz w:val="24"/>
        </w:rPr>
      </w:pPr>
      <w:r>
        <w:rPr>
          <w:rFonts w:hint="eastAsia" w:ascii="宋体" w:hAnsi="宋体"/>
          <w:color w:val="000000"/>
          <w:sz w:val="24"/>
        </w:rPr>
        <w:t>6、所有阀门的制造厂名或牌子、编号及保证能达到工作压力等技术参数，须铸于阀体或阀盖上。所有阀门应有明显的启闭标志。除特别用途之外，同一品种阀门应由同一生产厂家生产、同一供应商提供。</w:t>
      </w:r>
    </w:p>
    <w:p>
      <w:pPr>
        <w:spacing w:line="360" w:lineRule="auto"/>
        <w:ind w:firstLine="480" w:firstLineChars="200"/>
        <w:rPr>
          <w:rFonts w:ascii="宋体" w:hAnsi="宋体"/>
          <w:color w:val="000000"/>
          <w:sz w:val="24"/>
        </w:rPr>
      </w:pPr>
      <w:r>
        <w:rPr>
          <w:rFonts w:hint="eastAsia" w:ascii="宋体" w:hAnsi="宋体"/>
          <w:color w:val="000000"/>
          <w:sz w:val="24"/>
        </w:rPr>
        <w:t>7、阀门应配合各系统的工作压力。闸阀、蝶阀及球阀应适合受压力情况下进行维修。不论安装于任何系统，阀门的额定工作压力不能小于1MPa，并符合设计图纸要求。其他更高要求按系统需要而定。当系统工作压力不大于1.4Mpa时,所提供的阀门其额定工作压力必须大于系统工作压力最小0.2MPa。</w:t>
      </w:r>
    </w:p>
    <w:p>
      <w:pPr>
        <w:spacing w:line="360" w:lineRule="auto"/>
        <w:ind w:firstLine="480" w:firstLineChars="200"/>
        <w:rPr>
          <w:rFonts w:ascii="宋体" w:hAnsi="宋体"/>
          <w:color w:val="000000"/>
          <w:sz w:val="24"/>
        </w:rPr>
      </w:pPr>
      <w:r>
        <w:rPr>
          <w:rFonts w:hint="eastAsia" w:ascii="宋体" w:hAnsi="宋体"/>
          <w:color w:val="000000"/>
          <w:sz w:val="24"/>
        </w:rPr>
        <w:t>8、阀门的接驳：</w:t>
      </w:r>
    </w:p>
    <w:p>
      <w:pPr>
        <w:spacing w:line="360" w:lineRule="auto"/>
        <w:ind w:firstLine="480" w:firstLineChars="200"/>
        <w:rPr>
          <w:rFonts w:ascii="宋体" w:hAnsi="宋体"/>
          <w:color w:val="000000"/>
          <w:sz w:val="24"/>
        </w:rPr>
      </w:pPr>
      <w:r>
        <w:rPr>
          <w:rFonts w:hint="eastAsia" w:ascii="宋体" w:hAnsi="宋体"/>
          <w:color w:val="000000"/>
          <w:sz w:val="24"/>
        </w:rPr>
        <w:t>⑴ 按管道接口的要求提供阀门，直径须与管径相同；</w:t>
      </w:r>
    </w:p>
    <w:p>
      <w:pPr>
        <w:spacing w:line="360" w:lineRule="auto"/>
        <w:ind w:firstLine="480" w:firstLineChars="200"/>
        <w:rPr>
          <w:rFonts w:ascii="宋体" w:hAnsi="宋体"/>
          <w:color w:val="000000"/>
          <w:sz w:val="24"/>
        </w:rPr>
      </w:pPr>
      <w:r>
        <w:rPr>
          <w:rFonts w:hint="eastAsia" w:ascii="宋体" w:hAnsi="宋体"/>
          <w:color w:val="000000"/>
          <w:sz w:val="24"/>
        </w:rPr>
        <w:t>⑵ 管径50mm及以下丝扣接口；</w:t>
      </w:r>
    </w:p>
    <w:p>
      <w:pPr>
        <w:spacing w:line="360" w:lineRule="auto"/>
        <w:ind w:firstLine="480" w:firstLineChars="200"/>
        <w:rPr>
          <w:rFonts w:ascii="宋体" w:hAnsi="宋体"/>
          <w:color w:val="000000"/>
          <w:sz w:val="24"/>
        </w:rPr>
      </w:pPr>
      <w:r>
        <w:rPr>
          <w:rFonts w:hint="eastAsia" w:ascii="宋体" w:hAnsi="宋体"/>
          <w:color w:val="000000"/>
          <w:sz w:val="24"/>
        </w:rPr>
        <w:t>⑶ 管径65mm及以上为法兰接口。</w:t>
      </w:r>
    </w:p>
    <w:p>
      <w:pPr>
        <w:spacing w:line="360" w:lineRule="auto"/>
        <w:ind w:firstLine="480" w:firstLineChars="200"/>
        <w:rPr>
          <w:rFonts w:ascii="宋体" w:hAnsi="宋体"/>
          <w:color w:val="000000"/>
          <w:sz w:val="24"/>
        </w:rPr>
      </w:pPr>
      <w:r>
        <w:rPr>
          <w:rFonts w:hint="eastAsia" w:ascii="宋体" w:hAnsi="宋体"/>
          <w:color w:val="000000"/>
          <w:sz w:val="24"/>
        </w:rPr>
        <w:t>9、每个压力表前须安装排气阀门。</w:t>
      </w:r>
    </w:p>
    <w:p>
      <w:pPr>
        <w:spacing w:line="360" w:lineRule="auto"/>
        <w:ind w:left="1244" w:leftChars="364" w:hanging="480" w:hangingChars="200"/>
        <w:rPr>
          <w:rFonts w:ascii="宋体" w:hAnsi="宋体"/>
          <w:color w:val="000000"/>
          <w:sz w:val="24"/>
        </w:rPr>
      </w:pPr>
    </w:p>
    <w:p>
      <w:pPr>
        <w:autoSpaceDE w:val="0"/>
        <w:autoSpaceDN w:val="0"/>
        <w:adjustRightInd w:val="0"/>
        <w:spacing w:line="360" w:lineRule="auto"/>
        <w:ind w:firstLine="420"/>
        <w:rPr>
          <w:rFonts w:ascii="宋体" w:hAnsi="Times New Roman" w:cs="宋体"/>
          <w:b/>
          <w:bCs/>
          <w:color w:val="000000"/>
          <w:sz w:val="24"/>
          <w:lang w:val="zh-CN"/>
        </w:rPr>
      </w:pPr>
      <w:r>
        <w:rPr>
          <w:rFonts w:hint="eastAsia" w:ascii="黑体" w:hAnsi="宋体" w:eastAsia="黑体"/>
          <w:b/>
          <w:bCs/>
          <w:color w:val="000000"/>
          <w:sz w:val="24"/>
        </w:rPr>
        <w:t>二、产品</w:t>
      </w:r>
    </w:p>
    <w:p>
      <w:pPr>
        <w:autoSpaceDE w:val="0"/>
        <w:autoSpaceDN w:val="0"/>
        <w:adjustRightInd w:val="0"/>
        <w:spacing w:line="360" w:lineRule="auto"/>
        <w:ind w:firstLine="420"/>
        <w:rPr>
          <w:rFonts w:ascii="Times New Roman"/>
          <w:color w:val="000000"/>
          <w:sz w:val="24"/>
          <w:lang w:val="zh-CN"/>
        </w:rPr>
      </w:pPr>
      <w:r>
        <w:rPr>
          <w:rFonts w:hint="eastAsia" w:ascii="宋体" w:cs="宋体"/>
          <w:b/>
          <w:bCs/>
          <w:color w:val="000000"/>
          <w:sz w:val="24"/>
          <w:lang w:val="zh-CN"/>
        </w:rPr>
        <w:t>1、闸阀</w:t>
      </w:r>
      <w:r>
        <w:rPr>
          <w:rFonts w:hint="eastAsia" w:ascii="宋体" w:cs="宋体"/>
          <w:color w:val="000000"/>
          <w:sz w:val="24"/>
          <w:lang w:val="zh-CN"/>
        </w:rPr>
        <w:t>：DN50以下用不锈钢阀体、不上升阀杆、固体楔形圆盘连接阀帽、丝口接口。DN65及以上采用弹性座封闸阀，球墨铸铁阀体通水部分为环氧聚酯喷涂。</w:t>
      </w:r>
    </w:p>
    <w:p>
      <w:pPr>
        <w:autoSpaceDE w:val="0"/>
        <w:autoSpaceDN w:val="0"/>
        <w:adjustRightInd w:val="0"/>
        <w:spacing w:line="360" w:lineRule="auto"/>
        <w:ind w:firstLine="420"/>
        <w:rPr>
          <w:rFonts w:ascii="宋体"/>
          <w:color w:val="000000"/>
          <w:sz w:val="24"/>
          <w:lang w:val="zh-CN"/>
        </w:rPr>
      </w:pPr>
      <w:r>
        <w:rPr>
          <w:rFonts w:hint="eastAsia" w:ascii="宋体" w:cs="宋体"/>
          <w:b/>
          <w:bCs/>
          <w:color w:val="000000"/>
          <w:sz w:val="24"/>
          <w:lang w:val="zh-CN"/>
        </w:rPr>
        <w:t>2、球阀（截止阀）</w:t>
      </w:r>
      <w:r>
        <w:rPr>
          <w:rFonts w:hint="eastAsia" w:ascii="宋体" w:cs="宋体"/>
          <w:color w:val="000000"/>
          <w:sz w:val="24"/>
          <w:lang w:val="zh-CN"/>
        </w:rPr>
        <w:t>：DN50及以下用不锈钢阀体、不锈钢球、螺纹阀帽、金属对金属座、丝口接口。</w:t>
      </w:r>
    </w:p>
    <w:p>
      <w:pPr>
        <w:autoSpaceDE w:val="0"/>
        <w:autoSpaceDN w:val="0"/>
        <w:adjustRightInd w:val="0"/>
        <w:spacing w:line="360" w:lineRule="auto"/>
        <w:ind w:firstLine="420"/>
        <w:outlineLvl w:val="0"/>
        <w:rPr>
          <w:rFonts w:ascii="Times New Roman"/>
          <w:color w:val="000000"/>
          <w:sz w:val="24"/>
          <w:lang w:val="zh-CN"/>
        </w:rPr>
      </w:pPr>
      <w:r>
        <w:rPr>
          <w:rFonts w:hint="eastAsia" w:ascii="宋体" w:cs="宋体"/>
          <w:b/>
          <w:bCs/>
          <w:color w:val="000000"/>
          <w:sz w:val="24"/>
          <w:lang w:val="zh-CN"/>
        </w:rPr>
        <w:t xml:space="preserve">3、止回阀  </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①</w:t>
      </w:r>
      <w:r>
        <w:rPr>
          <w:rFonts w:hint="eastAsia" w:ascii="宋体" w:cs="宋体"/>
          <w:color w:val="000000"/>
          <w:sz w:val="24"/>
          <w:lang w:val="zh-CN"/>
        </w:rPr>
        <w:t xml:space="preserve"> 消声止回阀（管径DN65mm以上）:于各水泵出口及按图纸所示提供无关闭声、中心导向、球型静音止回阀。关闭动作由弹簧控制使液体流动静止或反向回流前，圆盘先回到阀座环。圆盘为飘浮式，中心导向和由流速控制而无需润滑脂或反重量平衡。设计须能防止装配后圆盘与阀座环互相磨蚀，并配有可拆盖子供检查轴承座及圆盘动作；</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②</w:t>
      </w:r>
      <w:r>
        <w:rPr>
          <w:rFonts w:hint="eastAsia" w:ascii="宋体" w:cs="宋体"/>
          <w:color w:val="000000"/>
          <w:sz w:val="24"/>
          <w:lang w:val="zh-CN"/>
        </w:rPr>
        <w:t xml:space="preserve"> 旋启式止回阀（DN50mm以下）:旋启式止回阀须配有可拆卸和螺纹帽盖，适合在水平或垂直位置操作。</w:t>
      </w:r>
    </w:p>
    <w:p>
      <w:pPr>
        <w:autoSpaceDE w:val="0"/>
        <w:autoSpaceDN w:val="0"/>
        <w:adjustRightInd w:val="0"/>
        <w:spacing w:line="360" w:lineRule="auto"/>
        <w:rPr>
          <w:b/>
          <w:bCs/>
          <w:color w:val="000000"/>
          <w:sz w:val="24"/>
          <w:lang w:val="zh-CN"/>
        </w:rPr>
      </w:pPr>
      <w:r>
        <w:rPr>
          <w:rFonts w:hint="eastAsia" w:ascii="宋体" w:cs="宋体"/>
          <w:b/>
          <w:bCs/>
          <w:color w:val="000000"/>
          <w:sz w:val="24"/>
          <w:lang w:val="zh-CN"/>
        </w:rPr>
        <w:t xml:space="preserve">   4、碟阀：</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①</w:t>
      </w:r>
      <w:r>
        <w:rPr>
          <w:rFonts w:hint="eastAsia" w:ascii="宋体" w:cs="宋体"/>
          <w:color w:val="000000"/>
          <w:sz w:val="24"/>
          <w:lang w:val="zh-CN"/>
        </w:rPr>
        <w:t xml:space="preserve"> 阀瓣为不锈钢或球墨铸铁环氧喷涂；阀体为球墨铸铁环氧喷涂；轴杆为316不锈钢（液体不能与轴杆有接触）。阀座为优质耐磨橡胶；</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②</w:t>
      </w:r>
      <w:r>
        <w:rPr>
          <w:rFonts w:hint="eastAsia" w:ascii="宋体" w:cs="宋体"/>
          <w:color w:val="000000"/>
          <w:sz w:val="24"/>
          <w:lang w:val="zh-CN"/>
        </w:rPr>
        <w:t xml:space="preserve"> 操纵杆可锁定在任何位置或带有10度或15度切口的节流板手以保持阀处于所选定的位置。对于150mm及更大尺寸者须提供齿轮操纵器。设置位置指示及限位档板。</w:t>
      </w:r>
    </w:p>
    <w:p>
      <w:pPr>
        <w:autoSpaceDE w:val="0"/>
        <w:autoSpaceDN w:val="0"/>
        <w:adjustRightInd w:val="0"/>
        <w:spacing w:line="360" w:lineRule="auto"/>
        <w:ind w:firstLine="420"/>
        <w:rPr>
          <w:rFonts w:ascii="宋体"/>
          <w:b/>
          <w:bCs/>
          <w:color w:val="000000"/>
          <w:sz w:val="24"/>
          <w:lang w:val="zh-CN"/>
        </w:rPr>
      </w:pPr>
      <w:r>
        <w:rPr>
          <w:rFonts w:hint="eastAsia" w:ascii="宋体" w:cs="宋体"/>
          <w:b/>
          <w:bCs/>
          <w:color w:val="000000"/>
          <w:sz w:val="24"/>
          <w:lang w:val="zh-CN"/>
        </w:rPr>
        <w:t>5、减压阀</w:t>
      </w:r>
    </w:p>
    <w:p>
      <w:pPr>
        <w:autoSpaceDE w:val="0"/>
        <w:autoSpaceDN w:val="0"/>
        <w:adjustRightInd w:val="0"/>
        <w:spacing w:line="360" w:lineRule="auto"/>
        <w:ind w:firstLine="420"/>
        <w:rPr>
          <w:rFonts w:ascii="Times New Roman"/>
          <w:color w:val="000000"/>
          <w:sz w:val="24"/>
          <w:lang w:val="zh-CN"/>
        </w:rPr>
      </w:pPr>
      <w:r>
        <w:rPr>
          <w:rFonts w:hint="eastAsia" w:ascii="宋体" w:cs="宋体"/>
          <w:color w:val="000000"/>
          <w:sz w:val="24"/>
          <w:lang w:val="zh-CN"/>
        </w:rPr>
        <w:t>阀组应为导引操作式，并应安装在容易到达的地方，以便日常维修及检查工作，同时并应符合下列各项要求：</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①</w:t>
      </w:r>
      <w:r>
        <w:rPr>
          <w:rFonts w:hint="eastAsia" w:ascii="宋体" w:cs="宋体"/>
          <w:color w:val="000000"/>
          <w:sz w:val="24"/>
          <w:lang w:val="zh-CN"/>
        </w:rPr>
        <w:t xml:space="preserve"> 设有分隔阀、减压阀、旁通阀、压力表并自带过滤器；</w:t>
      </w:r>
    </w:p>
    <w:p>
      <w:pPr>
        <w:autoSpaceDE w:val="0"/>
        <w:autoSpaceDN w:val="0"/>
        <w:adjustRightInd w:val="0"/>
        <w:spacing w:line="360" w:lineRule="auto"/>
        <w:ind w:firstLine="420"/>
        <w:rPr>
          <w:color w:val="000000"/>
          <w:sz w:val="24"/>
          <w:lang w:val="zh-CN"/>
        </w:rPr>
      </w:pPr>
      <w:r>
        <w:rPr>
          <w:rFonts w:hint="eastAsia" w:ascii="宋体" w:hAnsi="宋体" w:cs="宋体"/>
          <w:color w:val="000000"/>
          <w:sz w:val="24"/>
          <w:lang w:val="zh-CN"/>
        </w:rPr>
        <w:t xml:space="preserve">   ② </w:t>
      </w:r>
      <w:r>
        <w:rPr>
          <w:rFonts w:hint="eastAsia" w:ascii="宋体" w:cs="宋体"/>
          <w:color w:val="000000"/>
          <w:sz w:val="24"/>
          <w:lang w:val="zh-CN"/>
        </w:rPr>
        <w:t>减压阀高、低两侧均需提供压力表，而表的最高读数应为工作压力的两倍；</w:t>
      </w:r>
    </w:p>
    <w:p>
      <w:pPr>
        <w:spacing w:line="360" w:lineRule="auto"/>
        <w:ind w:firstLine="480" w:firstLineChars="200"/>
        <w:rPr>
          <w:rFonts w:ascii="宋体" w:cs="宋体"/>
          <w:color w:val="000000"/>
          <w:sz w:val="24"/>
          <w:lang w:val="zh-CN"/>
        </w:rPr>
      </w:pPr>
      <w:r>
        <w:rPr>
          <w:rFonts w:hint="eastAsia" w:ascii="宋体" w:hAnsi="宋体" w:cs="宋体"/>
          <w:color w:val="000000"/>
          <w:sz w:val="24"/>
          <w:lang w:val="zh-CN"/>
        </w:rPr>
        <w:t xml:space="preserve">   ③</w:t>
      </w:r>
      <w:r>
        <w:rPr>
          <w:rFonts w:hint="eastAsia" w:ascii="宋体" w:cs="宋体"/>
          <w:color w:val="000000"/>
          <w:sz w:val="24"/>
          <w:lang w:val="zh-CN"/>
        </w:rPr>
        <w:t xml:space="preserve"> 减压阀须在动压状态和静压状态之下均能发挥减压作用。</w:t>
      </w:r>
    </w:p>
    <w:p>
      <w:pPr>
        <w:spacing w:line="360" w:lineRule="auto"/>
        <w:ind w:firstLine="482" w:firstLineChars="200"/>
        <w:rPr>
          <w:rFonts w:ascii="宋体" w:hAnsi="宋体"/>
          <w:color w:val="000000"/>
          <w:sz w:val="24"/>
        </w:rPr>
      </w:pPr>
      <w:r>
        <w:rPr>
          <w:rFonts w:hint="eastAsia" w:ascii="宋体" w:hAnsi="宋体"/>
          <w:b/>
          <w:color w:val="000000"/>
          <w:sz w:val="24"/>
        </w:rPr>
        <w:t>6、自动排气阀：</w:t>
      </w:r>
    </w:p>
    <w:p>
      <w:pPr>
        <w:spacing w:line="360" w:lineRule="auto"/>
        <w:ind w:firstLine="480" w:firstLineChars="200"/>
        <w:rPr>
          <w:rFonts w:ascii="宋体" w:hAnsi="宋体"/>
          <w:color w:val="000000"/>
          <w:sz w:val="24"/>
        </w:rPr>
      </w:pPr>
      <w:r>
        <w:rPr>
          <w:rFonts w:hint="eastAsia" w:ascii="宋体" w:hAnsi="宋体"/>
          <w:color w:val="000000"/>
          <w:sz w:val="24"/>
        </w:rPr>
        <w:t>⑴ 不论在图纸上是否明确指示，所有水管高点位置及系统中需要排气的位置皆须提供适当大小及认可的自动排气阀；</w:t>
      </w:r>
    </w:p>
    <w:p>
      <w:pPr>
        <w:spacing w:line="360" w:lineRule="auto"/>
        <w:ind w:firstLine="480" w:firstLineChars="200"/>
        <w:rPr>
          <w:rFonts w:ascii="宋体" w:hAnsi="宋体"/>
          <w:color w:val="000000"/>
          <w:sz w:val="24"/>
        </w:rPr>
      </w:pPr>
      <w:r>
        <w:rPr>
          <w:rFonts w:hint="eastAsia" w:ascii="宋体" w:hAnsi="宋体"/>
          <w:color w:val="000000"/>
          <w:sz w:val="24"/>
        </w:rPr>
        <w:t>⑵ 自动排气阀须为锡青铜或黄铜制造，内附不锈钢或塑料浮球及导杆，阀门和阀座为不腐蚀材料制成。排气阀之前须装上防锁阀。</w:t>
      </w:r>
    </w:p>
    <w:p>
      <w:pPr>
        <w:spacing w:line="360" w:lineRule="auto"/>
        <w:rPr>
          <w:rFonts w:ascii="宋体" w:hAnsi="Times New Roman" w:cs="宋体"/>
          <w:color w:val="000000"/>
          <w:sz w:val="24"/>
          <w:lang w:val="zh-CN"/>
        </w:rPr>
      </w:pPr>
      <w:r>
        <w:rPr>
          <w:rFonts w:hint="eastAsia" w:ascii="宋体" w:cs="宋体"/>
          <w:b/>
          <w:bCs/>
          <w:color w:val="000000"/>
          <w:sz w:val="24"/>
          <w:lang w:val="zh-CN"/>
        </w:rPr>
        <w:t>7、过滤器</w:t>
      </w:r>
      <w:r>
        <w:rPr>
          <w:rFonts w:hint="eastAsia" w:ascii="宋体" w:cs="宋体"/>
          <w:color w:val="000000"/>
          <w:sz w:val="24"/>
          <w:lang w:val="zh-CN"/>
        </w:rPr>
        <w:t>：</w:t>
      </w:r>
    </w:p>
    <w:p>
      <w:pPr>
        <w:spacing w:line="360" w:lineRule="auto"/>
        <w:ind w:firstLine="480" w:firstLineChars="200"/>
        <w:rPr>
          <w:rFonts w:ascii="宋体" w:hAnsi="宋体"/>
          <w:color w:val="000000"/>
          <w:sz w:val="24"/>
        </w:rPr>
      </w:pPr>
      <w:r>
        <w:rPr>
          <w:rFonts w:hint="eastAsia" w:ascii="宋体" w:hAnsi="宋体"/>
          <w:color w:val="000000"/>
          <w:sz w:val="24"/>
        </w:rPr>
        <w:t>⑴、按图纸和安装图集所示设置过滤器，过滤器为“Y”型，并应为法兰接口，以便拆卸钢网清洗。额定压力应适用于安装系统的压力；</w:t>
      </w:r>
    </w:p>
    <w:p>
      <w:pPr>
        <w:spacing w:line="360" w:lineRule="auto"/>
        <w:ind w:firstLine="480" w:firstLineChars="200"/>
        <w:rPr>
          <w:rFonts w:ascii="宋体" w:hAnsi="宋体"/>
          <w:color w:val="000000"/>
          <w:sz w:val="24"/>
        </w:rPr>
      </w:pPr>
      <w:r>
        <w:rPr>
          <w:rFonts w:hint="eastAsia" w:ascii="宋体" w:hAnsi="宋体"/>
          <w:color w:val="000000"/>
          <w:sz w:val="24"/>
        </w:rPr>
        <w:t>⑵、</w:t>
      </w:r>
      <w:r>
        <w:rPr>
          <w:rFonts w:hint="eastAsia" w:ascii="宋体" w:cs="宋体"/>
          <w:color w:val="000000"/>
          <w:sz w:val="24"/>
          <w:lang w:val="zh-CN"/>
        </w:rPr>
        <w:t>过滤器DN50及以下为不锈钢阀体，DN65及以上应为球墨铸铁阀体</w:t>
      </w:r>
      <w:r>
        <w:rPr>
          <w:rFonts w:hint="eastAsia" w:ascii="宋体" w:hAnsi="宋体"/>
          <w:color w:val="000000"/>
          <w:sz w:val="24"/>
        </w:rPr>
        <w:t>，304不锈钢过滤网孔眼为1.5mm，其总面积至少为管道内面积的三倍。</w:t>
      </w:r>
    </w:p>
    <w:p>
      <w:pPr>
        <w:autoSpaceDE w:val="0"/>
        <w:autoSpaceDN w:val="0"/>
        <w:adjustRightInd w:val="0"/>
        <w:spacing w:line="360" w:lineRule="auto"/>
        <w:rPr>
          <w:rFonts w:ascii="Times New Roman" w:hAnsi="Times New Roman"/>
          <w:color w:val="000000"/>
          <w:sz w:val="24"/>
          <w:lang w:val="zh-CN"/>
        </w:rPr>
      </w:pPr>
      <w:r>
        <w:rPr>
          <w:b/>
          <w:bCs/>
          <w:color w:val="000000"/>
          <w:sz w:val="24"/>
          <w:lang w:val="zh-CN"/>
        </w:rPr>
        <w:t>8</w:t>
      </w:r>
      <w:r>
        <w:rPr>
          <w:rFonts w:hint="eastAsia" w:cs="宋体"/>
          <w:b/>
          <w:bCs/>
          <w:color w:val="000000"/>
          <w:sz w:val="24"/>
          <w:lang w:val="zh-CN"/>
        </w:rPr>
        <w:t>、</w:t>
      </w:r>
      <w:r>
        <w:rPr>
          <w:rFonts w:hint="eastAsia" w:cs="宋体"/>
          <w:b/>
          <w:bCs/>
          <w:sz w:val="24"/>
        </w:rPr>
        <w:t>防污染隔断阀</w:t>
      </w:r>
      <w:r>
        <w:rPr>
          <w:rFonts w:hint="eastAsia"/>
          <w:b/>
          <w:bCs/>
          <w:sz w:val="24"/>
        </w:rPr>
        <w:t>、</w:t>
      </w:r>
      <w:r>
        <w:rPr>
          <w:rFonts w:hint="eastAsia" w:cs="宋体"/>
          <w:b/>
          <w:bCs/>
          <w:sz w:val="24"/>
        </w:rPr>
        <w:t>倒流防止器：</w:t>
      </w:r>
    </w:p>
    <w:p>
      <w:pPr>
        <w:spacing w:line="360" w:lineRule="auto"/>
        <w:rPr>
          <w:sz w:val="24"/>
        </w:rPr>
      </w:pPr>
      <w:r>
        <w:rPr>
          <w:rFonts w:hint="eastAsia" w:cs="宋体"/>
          <w:sz w:val="24"/>
        </w:rPr>
        <w:t>技术要求：（</w:t>
      </w:r>
      <w:r>
        <w:rPr>
          <w:sz w:val="24"/>
        </w:rPr>
        <w:t>1</w:t>
      </w:r>
      <w:r>
        <w:rPr>
          <w:rFonts w:hint="eastAsia"/>
          <w:sz w:val="24"/>
        </w:rPr>
        <w:t>）</w:t>
      </w:r>
      <w:r>
        <w:rPr>
          <w:rFonts w:hint="eastAsia" w:cs="宋体"/>
          <w:sz w:val="24"/>
        </w:rPr>
        <w:t>、阀体为三段式结构，要求动作灵敏，能形成可靠的隔断，防止回流污染，做到零泄漏；</w:t>
      </w:r>
    </w:p>
    <w:p>
      <w:pPr>
        <w:spacing w:line="360" w:lineRule="auto"/>
        <w:outlineLvl w:val="0"/>
        <w:rPr>
          <w:sz w:val="24"/>
        </w:rPr>
      </w:pPr>
      <w:r>
        <w:rPr>
          <w:rFonts w:hint="eastAsia"/>
          <w:sz w:val="24"/>
        </w:rPr>
        <w:t>（</w:t>
      </w:r>
      <w:r>
        <w:rPr>
          <w:sz w:val="24"/>
        </w:rPr>
        <w:t>2</w:t>
      </w:r>
      <w:r>
        <w:rPr>
          <w:rFonts w:hint="eastAsia"/>
          <w:sz w:val="24"/>
        </w:rPr>
        <w:t>）</w:t>
      </w:r>
      <w:r>
        <w:rPr>
          <w:rFonts w:hint="eastAsia" w:cs="宋体"/>
          <w:sz w:val="24"/>
        </w:rPr>
        <w:t>、内外环氧树脂涂覆，有很强的抗腐蚀性；</w:t>
      </w:r>
    </w:p>
    <w:p>
      <w:pPr>
        <w:spacing w:line="360" w:lineRule="auto"/>
        <w:rPr>
          <w:sz w:val="24"/>
        </w:rPr>
      </w:pPr>
      <w:r>
        <w:rPr>
          <w:rFonts w:hint="eastAsia"/>
          <w:sz w:val="24"/>
        </w:rPr>
        <w:t>（</w:t>
      </w:r>
      <w:r>
        <w:rPr>
          <w:sz w:val="24"/>
        </w:rPr>
        <w:t>3</w:t>
      </w:r>
      <w:r>
        <w:rPr>
          <w:rFonts w:hint="eastAsia"/>
          <w:sz w:val="24"/>
        </w:rPr>
        <w:t>）</w:t>
      </w:r>
      <w:r>
        <w:rPr>
          <w:rFonts w:hint="eastAsia" w:cs="宋体"/>
          <w:sz w:val="24"/>
        </w:rPr>
        <w:t>、阀体中间需安置泄水阀。如任一止回阀故障，泄水阀即可连续泄水，有效保证水质不受回流污染；</w:t>
      </w:r>
    </w:p>
    <w:p>
      <w:pPr>
        <w:spacing w:line="360" w:lineRule="auto"/>
        <w:rPr>
          <w:sz w:val="24"/>
        </w:rPr>
      </w:pPr>
      <w:r>
        <w:rPr>
          <w:rFonts w:hint="eastAsia"/>
          <w:sz w:val="24"/>
        </w:rPr>
        <w:t>（</w:t>
      </w:r>
      <w:r>
        <w:rPr>
          <w:sz w:val="24"/>
        </w:rPr>
        <w:t>4</w:t>
      </w:r>
      <w:r>
        <w:rPr>
          <w:rFonts w:hint="eastAsia"/>
          <w:sz w:val="24"/>
        </w:rPr>
        <w:t>）</w:t>
      </w:r>
      <w:r>
        <w:rPr>
          <w:rFonts w:hint="eastAsia" w:cs="宋体"/>
          <w:sz w:val="24"/>
        </w:rPr>
        <w:t>、阀体为球墨铸铁，环氧树脂涂覆，阀组连接部螺栓螺母采用不锈钢材质，法兰式连接。</w:t>
      </w:r>
    </w:p>
    <w:p>
      <w:pPr>
        <w:spacing w:line="360" w:lineRule="auto"/>
        <w:ind w:firstLine="482" w:firstLineChars="200"/>
        <w:rPr>
          <w:rFonts w:ascii="黑体" w:hAnsi="宋体" w:eastAsia="黑体"/>
          <w:b/>
          <w:bCs/>
          <w:color w:val="000000"/>
          <w:sz w:val="24"/>
        </w:rPr>
      </w:pPr>
    </w:p>
    <w:p>
      <w:pPr>
        <w:spacing w:line="360" w:lineRule="auto"/>
        <w:ind w:firstLine="482" w:firstLineChars="200"/>
        <w:rPr>
          <w:rFonts w:ascii="宋体" w:hAnsi="宋体"/>
          <w:b/>
          <w:color w:val="000000"/>
          <w:sz w:val="24"/>
        </w:rPr>
      </w:pPr>
      <w:r>
        <w:rPr>
          <w:rFonts w:hint="eastAsia" w:ascii="宋体" w:hAnsi="宋体"/>
          <w:b/>
          <w:color w:val="000000"/>
          <w:sz w:val="24"/>
        </w:rPr>
        <w:t xml:space="preserve"> 9、排水阀：</w:t>
      </w:r>
    </w:p>
    <w:p>
      <w:pPr>
        <w:spacing w:line="360" w:lineRule="auto"/>
        <w:ind w:firstLine="480" w:firstLineChars="200"/>
        <w:rPr>
          <w:rFonts w:ascii="宋体" w:hAnsi="宋体"/>
          <w:color w:val="000000"/>
          <w:sz w:val="24"/>
        </w:rPr>
      </w:pPr>
      <w:r>
        <w:rPr>
          <w:rFonts w:hint="eastAsia" w:ascii="宋体" w:hAnsi="宋体"/>
          <w:color w:val="000000"/>
          <w:sz w:val="24"/>
        </w:rPr>
        <w:t>不论在图纸上是否明确指示，承包人需于管道系统中适当的位置提供排水阀门，使能把各管段的水排走以进行检修工作。排水阀应为密封式，所有直径50mm及以下的管道的排水阀应为直径10mm，其他管道则用直径25mm的排水阀，所有排水阀应提供软喉接口。</w:t>
      </w:r>
    </w:p>
    <w:p>
      <w:pPr>
        <w:spacing w:line="360" w:lineRule="auto"/>
        <w:ind w:firstLine="482" w:firstLineChars="200"/>
        <w:rPr>
          <w:rFonts w:ascii="宋体" w:hAnsi="宋体"/>
          <w:color w:val="000000"/>
          <w:sz w:val="24"/>
        </w:rPr>
      </w:pPr>
      <w:r>
        <w:rPr>
          <w:rFonts w:hint="eastAsia" w:ascii="宋体" w:hAnsi="宋体"/>
          <w:b/>
          <w:color w:val="000000"/>
          <w:sz w:val="24"/>
        </w:rPr>
        <w:t>10、压力表</w:t>
      </w:r>
      <w:r>
        <w:rPr>
          <w:rFonts w:hint="eastAsia" w:ascii="宋体" w:hAnsi="宋体"/>
          <w:color w:val="000000"/>
          <w:sz w:val="24"/>
        </w:rPr>
        <w:t>：</w:t>
      </w:r>
    </w:p>
    <w:p>
      <w:pPr>
        <w:spacing w:line="360" w:lineRule="auto"/>
        <w:ind w:firstLine="480" w:firstLineChars="200"/>
        <w:rPr>
          <w:rFonts w:ascii="宋体" w:hAnsi="宋体"/>
          <w:color w:val="000000"/>
          <w:sz w:val="24"/>
        </w:rPr>
      </w:pPr>
      <w:r>
        <w:rPr>
          <w:rFonts w:hint="eastAsia" w:ascii="宋体" w:hAnsi="宋体"/>
          <w:color w:val="000000"/>
          <w:sz w:val="24"/>
        </w:rPr>
        <w:t>压力表直径为100mm，其构造应为黑色搪瓷铁壳、带有厚玻璃的螺纹镀铬铜环、不锈钢弹簧管、精密机件和测微调整，并装设有脉动缓冲器、不锈钢管配件和针状点球型阻断开关。适用于不小于1.6MPa的工作压力。压力表应连同旋塞安装于靠近泵或设备的容易阅读的地方。此外，压力表的读数应为系统工作压力的2倍。每一压力表需提供隔离阀门。</w:t>
      </w:r>
    </w:p>
    <w:p>
      <w:pPr>
        <w:spacing w:line="360" w:lineRule="auto"/>
        <w:ind w:firstLine="482" w:firstLineChars="200"/>
        <w:rPr>
          <w:rFonts w:ascii="宋体" w:hAnsi="宋体"/>
          <w:b/>
          <w:color w:val="000000"/>
          <w:sz w:val="24"/>
        </w:rPr>
      </w:pPr>
      <w:r>
        <w:rPr>
          <w:rFonts w:hint="eastAsia" w:ascii="宋体" w:hAnsi="宋体"/>
          <w:b/>
          <w:color w:val="000000"/>
          <w:sz w:val="24"/>
        </w:rPr>
        <w:t>11、 波纹管道伸缩器：</w:t>
      </w:r>
    </w:p>
    <w:p>
      <w:pPr>
        <w:spacing w:line="360" w:lineRule="auto"/>
        <w:ind w:firstLine="480" w:firstLineChars="200"/>
        <w:rPr>
          <w:rFonts w:ascii="宋体" w:hAnsi="宋体"/>
          <w:color w:val="000000"/>
          <w:sz w:val="24"/>
        </w:rPr>
      </w:pPr>
      <w:r>
        <w:rPr>
          <w:rFonts w:hint="eastAsia" w:ascii="宋体" w:hAnsi="宋体"/>
          <w:color w:val="000000"/>
          <w:sz w:val="24"/>
        </w:rPr>
        <w:t>⑴ 所有跨越建筑物伸缩缝处的管道及为解决管网的膨胀和收缩，需采用波纹管道伸缩器连接；</w:t>
      </w:r>
    </w:p>
    <w:p>
      <w:pPr>
        <w:spacing w:line="360" w:lineRule="auto"/>
        <w:ind w:firstLine="480" w:firstLineChars="200"/>
        <w:rPr>
          <w:rFonts w:ascii="宋体" w:hAnsi="宋体"/>
          <w:color w:val="000000"/>
          <w:sz w:val="24"/>
        </w:rPr>
      </w:pPr>
      <w:r>
        <w:rPr>
          <w:rFonts w:hint="eastAsia" w:ascii="宋体" w:hAnsi="宋体"/>
          <w:color w:val="000000"/>
          <w:sz w:val="24"/>
        </w:rPr>
        <w:t>⑵ 伸缩器应为不锈钢多波纹式，出厂时带附全部必要导管，其工作寿命不小于20年；</w:t>
      </w:r>
    </w:p>
    <w:p>
      <w:pPr>
        <w:spacing w:line="360" w:lineRule="auto"/>
        <w:ind w:firstLine="480" w:firstLineChars="200"/>
        <w:rPr>
          <w:rFonts w:ascii="宋体" w:hAnsi="宋体"/>
          <w:color w:val="000000"/>
          <w:sz w:val="24"/>
        </w:rPr>
      </w:pPr>
      <w:r>
        <w:rPr>
          <w:rFonts w:hint="eastAsia" w:ascii="宋体" w:hAnsi="宋体"/>
          <w:color w:val="000000"/>
          <w:sz w:val="24"/>
        </w:rPr>
        <w:t>⑶ 在分段试压期间，为防止损坏波纹管道伸缩器，承包人应保证对伸缩器进行适当的组装，锚固或拆卸；</w:t>
      </w:r>
    </w:p>
    <w:p>
      <w:pPr>
        <w:spacing w:line="360" w:lineRule="auto"/>
        <w:ind w:firstLine="480" w:firstLineChars="200"/>
        <w:rPr>
          <w:rFonts w:ascii="宋体" w:hAnsi="宋体"/>
          <w:color w:val="000000"/>
          <w:sz w:val="24"/>
        </w:rPr>
      </w:pPr>
      <w:r>
        <w:rPr>
          <w:rFonts w:hint="eastAsia" w:ascii="宋体" w:hAnsi="宋体"/>
          <w:color w:val="000000"/>
          <w:sz w:val="24"/>
        </w:rPr>
        <w:t>⑷ 伸缩器的工作压力须与其所属管道系统的工作压力相符。伸缩器的侧向和轴向移动应不少于±8mm。</w:t>
      </w:r>
    </w:p>
    <w:p>
      <w:pPr>
        <w:spacing w:line="360" w:lineRule="auto"/>
        <w:ind w:firstLine="482" w:firstLineChars="200"/>
        <w:rPr>
          <w:rFonts w:ascii="宋体" w:hAnsi="宋体"/>
          <w:color w:val="000000"/>
          <w:sz w:val="24"/>
        </w:rPr>
      </w:pPr>
      <w:r>
        <w:rPr>
          <w:rFonts w:hint="eastAsia" w:ascii="宋体" w:hAnsi="宋体"/>
          <w:b/>
          <w:color w:val="000000"/>
          <w:sz w:val="24"/>
        </w:rPr>
        <w:t>12、柔性连接器</w:t>
      </w:r>
      <w:r>
        <w:rPr>
          <w:rFonts w:hint="eastAsia" w:ascii="宋体" w:hAnsi="宋体"/>
          <w:color w:val="000000"/>
          <w:sz w:val="24"/>
        </w:rPr>
        <w:t>：</w:t>
      </w:r>
    </w:p>
    <w:p>
      <w:pPr>
        <w:spacing w:line="360" w:lineRule="auto"/>
        <w:ind w:firstLine="480" w:firstLineChars="200"/>
        <w:rPr>
          <w:rFonts w:ascii="宋体" w:hAnsi="宋体"/>
          <w:color w:val="000000"/>
          <w:sz w:val="24"/>
        </w:rPr>
      </w:pPr>
      <w:r>
        <w:rPr>
          <w:rFonts w:hint="eastAsia" w:ascii="宋体" w:hAnsi="宋体"/>
          <w:color w:val="000000"/>
          <w:sz w:val="24"/>
        </w:rPr>
        <w:t>⑴ 在图纸所示的设备其出口和进口处应设置柔性聚氯丁橡胶柔性连接器；</w:t>
      </w:r>
    </w:p>
    <w:p>
      <w:pPr>
        <w:spacing w:line="360" w:lineRule="auto"/>
        <w:ind w:firstLine="480" w:firstLineChars="200"/>
        <w:rPr>
          <w:rFonts w:ascii="宋体" w:hAnsi="宋体"/>
          <w:color w:val="000000"/>
          <w:sz w:val="24"/>
        </w:rPr>
      </w:pPr>
      <w:r>
        <w:rPr>
          <w:rFonts w:hint="eastAsia" w:ascii="宋体" w:hAnsi="宋体"/>
          <w:color w:val="000000"/>
          <w:sz w:val="24"/>
        </w:rPr>
        <w:t>⑵ 连接器应为尼龙胎芯结构和聚氯丁橡胶复合管以液压橡胶压机压铸成型；</w:t>
      </w:r>
    </w:p>
    <w:p>
      <w:pPr>
        <w:spacing w:line="360" w:lineRule="auto"/>
        <w:ind w:firstLine="480" w:firstLineChars="200"/>
        <w:rPr>
          <w:rFonts w:ascii="宋体" w:hAnsi="宋体"/>
          <w:color w:val="000000"/>
          <w:sz w:val="24"/>
        </w:rPr>
      </w:pPr>
      <w:r>
        <w:rPr>
          <w:rFonts w:hint="eastAsia" w:ascii="宋体" w:hAnsi="宋体"/>
          <w:color w:val="000000"/>
          <w:sz w:val="24"/>
        </w:rPr>
        <w:t>⑶ 不应采用钢丝或钢环作压力增强器。所有连接管均应按系统要求提供单球型或是设计师认可的；</w:t>
      </w:r>
    </w:p>
    <w:p>
      <w:pPr>
        <w:spacing w:line="360" w:lineRule="auto"/>
        <w:ind w:firstLine="480" w:firstLineChars="200"/>
        <w:rPr>
          <w:rFonts w:ascii="宋体" w:hAnsi="宋体"/>
          <w:color w:val="000000"/>
          <w:sz w:val="24"/>
        </w:rPr>
      </w:pPr>
      <w:r>
        <w:rPr>
          <w:rFonts w:hint="eastAsia" w:ascii="宋体" w:hAnsi="宋体"/>
          <w:color w:val="000000"/>
          <w:sz w:val="24"/>
        </w:rPr>
        <w:t>⑷ 连接器应用悬浮式钢制凹槽法兰与管道进行连接。所有连接器均应能承受最小1.6MPa工作压力1.5倍的测试压力；</w:t>
      </w:r>
    </w:p>
    <w:p>
      <w:pPr>
        <w:spacing w:line="360" w:lineRule="auto"/>
        <w:ind w:firstLine="480" w:firstLineChars="200"/>
        <w:rPr>
          <w:rFonts w:ascii="宋体" w:hAnsi="宋体"/>
          <w:color w:val="000000"/>
          <w:sz w:val="24"/>
        </w:rPr>
      </w:pPr>
      <w:r>
        <w:rPr>
          <w:rFonts w:hint="eastAsia" w:ascii="宋体" w:hAnsi="宋体"/>
          <w:color w:val="000000"/>
          <w:sz w:val="24"/>
        </w:rPr>
        <w:t>⑸ 所有连接器均应制成凸圆球形,生产过程均应进行适当的预伸长以防在系统压力下产生附加的伸长,同时每个连接器均需提供防超伸长锁定杆装置。</w:t>
      </w:r>
    </w:p>
    <w:p>
      <w:pPr>
        <w:spacing w:line="360" w:lineRule="auto"/>
        <w:ind w:firstLine="482" w:firstLineChars="200"/>
        <w:rPr>
          <w:rFonts w:ascii="宋体" w:hAnsi="宋体"/>
          <w:b/>
          <w:color w:val="000000"/>
          <w:sz w:val="24"/>
        </w:rPr>
      </w:pPr>
      <w:r>
        <w:rPr>
          <w:rFonts w:hint="eastAsia" w:ascii="宋体" w:hAnsi="宋体"/>
          <w:b/>
          <w:color w:val="000000"/>
          <w:sz w:val="24"/>
        </w:rPr>
        <w:t>13、水位控制器：</w:t>
      </w:r>
    </w:p>
    <w:p>
      <w:pPr>
        <w:spacing w:line="360" w:lineRule="auto"/>
        <w:ind w:firstLine="480" w:firstLineChars="200"/>
        <w:rPr>
          <w:rFonts w:ascii="宋体" w:hAnsi="宋体"/>
          <w:color w:val="000000"/>
          <w:sz w:val="24"/>
        </w:rPr>
      </w:pPr>
      <w:r>
        <w:rPr>
          <w:rFonts w:hint="eastAsia" w:ascii="宋体" w:hAnsi="宋体"/>
          <w:color w:val="000000"/>
          <w:sz w:val="24"/>
        </w:rPr>
        <w:t>⑴ 水位控制器外壳应为聚丙烯所制造，电缆壳套应为特别塑料混合物，塑料混合物是溶接和扭紧一起，粘合剂应为耐用型；</w:t>
      </w:r>
    </w:p>
    <w:p>
      <w:pPr>
        <w:spacing w:line="360" w:lineRule="auto"/>
        <w:ind w:firstLine="480" w:firstLineChars="200"/>
        <w:rPr>
          <w:rFonts w:ascii="宋体" w:hAnsi="宋体"/>
          <w:color w:val="000000"/>
          <w:sz w:val="24"/>
        </w:rPr>
      </w:pPr>
      <w:r>
        <w:rPr>
          <w:rFonts w:hint="eastAsia" w:ascii="宋体" w:hAnsi="宋体"/>
          <w:color w:val="000000"/>
          <w:sz w:val="24"/>
        </w:rPr>
        <w:t>⑵ 控制器应能抵御工作温度摄氏0度至50度；</w:t>
      </w:r>
    </w:p>
    <w:p>
      <w:pPr>
        <w:spacing w:line="360" w:lineRule="auto"/>
        <w:ind w:firstLine="480" w:firstLineChars="200"/>
        <w:rPr>
          <w:rFonts w:ascii="宋体" w:hAnsi="宋体"/>
          <w:color w:val="000000"/>
          <w:sz w:val="24"/>
        </w:rPr>
      </w:pPr>
      <w:r>
        <w:rPr>
          <w:rFonts w:hint="eastAsia" w:ascii="宋体" w:hAnsi="宋体"/>
          <w:color w:val="000000"/>
          <w:sz w:val="24"/>
        </w:rPr>
        <w:t>⑶ 消防储水池和水箱应设置水位控制器作为监察水位的状况，并有反馈信号给控制中心，于水池内的水耗尽前，先停止水泵工作。</w:t>
      </w:r>
    </w:p>
    <w:p>
      <w:pPr>
        <w:spacing w:line="360" w:lineRule="auto"/>
        <w:ind w:firstLine="480" w:firstLineChars="200"/>
        <w:rPr>
          <w:rFonts w:ascii="宋体" w:hAnsi="宋体"/>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三、安装</w:t>
      </w:r>
    </w:p>
    <w:p>
      <w:pPr>
        <w:spacing w:line="360" w:lineRule="auto"/>
        <w:ind w:firstLine="480" w:firstLineChars="200"/>
        <w:rPr>
          <w:rFonts w:ascii="宋体" w:hAnsi="宋体"/>
          <w:color w:val="000000"/>
          <w:sz w:val="24"/>
        </w:rPr>
      </w:pPr>
      <w:r>
        <w:rPr>
          <w:rFonts w:hint="eastAsia" w:ascii="宋体" w:hAnsi="宋体"/>
          <w:color w:val="000000"/>
          <w:sz w:val="24"/>
        </w:rPr>
        <w:t>1、阀门安装前应按规范要求作强度和严密性实验。安装在主干管上起切断作用的闭路阀门，应逐个作强度和严密性实验。</w:t>
      </w:r>
    </w:p>
    <w:p>
      <w:pPr>
        <w:spacing w:line="360" w:lineRule="auto"/>
        <w:ind w:firstLine="480" w:firstLineChars="200"/>
        <w:rPr>
          <w:rFonts w:ascii="宋体" w:hAnsi="宋体"/>
          <w:color w:val="000000"/>
          <w:sz w:val="24"/>
        </w:rPr>
      </w:pPr>
      <w:r>
        <w:rPr>
          <w:rFonts w:hint="eastAsia" w:ascii="宋体" w:hAnsi="宋体"/>
          <w:color w:val="000000"/>
          <w:sz w:val="24"/>
        </w:rPr>
        <w:t>2、阀门的强度和严密性实验，应符合以下规定：阀门的强度实验压力为公称压力的1.5倍；严密性实验压力为公称压力的1.1倍；实验压力在实验持续时间内应保持不变，且壳体填料及阀瓣密封面无渗漏。阀门试压的实验持续时间应按GB50242-2002执行。</w:t>
      </w:r>
    </w:p>
    <w:p>
      <w:pPr>
        <w:spacing w:line="360" w:lineRule="auto"/>
        <w:ind w:firstLine="480" w:firstLineChars="200"/>
        <w:rPr>
          <w:rFonts w:ascii="宋体" w:hAnsi="宋体"/>
          <w:color w:val="000000"/>
          <w:sz w:val="24"/>
        </w:rPr>
      </w:pPr>
      <w:r>
        <w:rPr>
          <w:rFonts w:hint="eastAsia" w:ascii="宋体" w:hAnsi="宋体"/>
          <w:color w:val="000000"/>
          <w:sz w:val="24"/>
        </w:rPr>
        <w:t>3、阀门的设置要有足够的维修间距。安装阀门须使阀杆向上或水平，但不可向下。</w:t>
      </w:r>
    </w:p>
    <w:p>
      <w:pPr>
        <w:spacing w:line="360" w:lineRule="auto"/>
        <w:ind w:firstLine="480" w:firstLineChars="200"/>
        <w:rPr>
          <w:rFonts w:ascii="宋体" w:hAnsi="宋体"/>
          <w:color w:val="000000"/>
          <w:sz w:val="24"/>
        </w:rPr>
      </w:pPr>
      <w:r>
        <w:rPr>
          <w:rFonts w:hint="eastAsia" w:ascii="宋体" w:hAnsi="宋体"/>
          <w:color w:val="000000"/>
          <w:sz w:val="24"/>
        </w:rPr>
        <w:t>4、安装闸阀或蝶阀用以关闭和隔离系统，使能隔离设备、系统一部分或隔离垂直立管等。</w:t>
      </w:r>
    </w:p>
    <w:p>
      <w:pPr>
        <w:spacing w:line="360" w:lineRule="auto"/>
        <w:ind w:firstLine="480" w:firstLineChars="200"/>
        <w:rPr>
          <w:rFonts w:ascii="宋体" w:hAnsi="宋体"/>
          <w:color w:val="000000"/>
          <w:sz w:val="24"/>
        </w:rPr>
      </w:pPr>
      <w:r>
        <w:rPr>
          <w:rFonts w:hint="eastAsia" w:ascii="宋体" w:hAnsi="宋体"/>
          <w:color w:val="000000"/>
          <w:sz w:val="24"/>
        </w:rPr>
        <w:t>5、安装球阀或控制阀作为节流或调控之用。</w:t>
      </w:r>
    </w:p>
    <w:p>
      <w:pPr>
        <w:spacing w:line="360" w:lineRule="auto"/>
        <w:ind w:firstLine="480" w:firstLineChars="200"/>
        <w:rPr>
          <w:rFonts w:ascii="宋体" w:hAnsi="宋体"/>
          <w:color w:val="000000"/>
          <w:sz w:val="24"/>
        </w:rPr>
      </w:pPr>
      <w:r>
        <w:rPr>
          <w:rFonts w:hint="eastAsia" w:ascii="宋体" w:hAnsi="宋体"/>
          <w:color w:val="000000"/>
          <w:sz w:val="24"/>
        </w:rPr>
        <w:t>6、安装排放阀于主要闸阀、设备及管道等的低位。排放阀须配备丝接口的接驳软管接口。</w:t>
      </w:r>
    </w:p>
    <w:p>
      <w:pPr>
        <w:spacing w:line="360" w:lineRule="auto"/>
        <w:ind w:firstLine="480" w:firstLineChars="200"/>
        <w:rPr>
          <w:rFonts w:ascii="宋体" w:hAnsi="宋体"/>
          <w:color w:val="000000"/>
          <w:sz w:val="24"/>
        </w:rPr>
      </w:pPr>
      <w:r>
        <w:rPr>
          <w:rFonts w:hint="eastAsia" w:ascii="宋体" w:hAnsi="宋体"/>
          <w:color w:val="000000"/>
          <w:sz w:val="24"/>
        </w:rPr>
        <w:t>7、装配自动排气阀于系统的高位及需要排气的位置，足使排除管道内的气体。于高位接驳6毫米不锈钢管并伸展到可触位置（约高于地板处1500mm）装配球阀，在用6mm不锈钢管排放至就近的排水系统。</w:t>
      </w:r>
    </w:p>
    <w:p>
      <w:pPr>
        <w:spacing w:line="360" w:lineRule="auto"/>
        <w:rPr>
          <w:rFonts w:ascii="Times New Roman" w:hAnsi="Times New Roman"/>
          <w:sz w:val="24"/>
        </w:rPr>
      </w:pPr>
      <w:r>
        <w:rPr>
          <w:rFonts w:hint="eastAsia" w:ascii="宋体" w:hAnsi="宋体"/>
          <w:color w:val="000000"/>
          <w:sz w:val="24"/>
        </w:rPr>
        <w:t>8、按图纸所示或厂商建议位置，提供适当大小的水锤消除器。</w:t>
      </w:r>
    </w:p>
    <w:p>
      <w:pPr>
        <w:spacing w:line="360" w:lineRule="auto"/>
        <w:rPr>
          <w:b/>
          <w:sz w:val="24"/>
        </w:rPr>
      </w:pPr>
    </w:p>
    <w:p>
      <w:pPr>
        <w:spacing w:line="360" w:lineRule="auto"/>
        <w:jc w:val="center"/>
        <w:rPr>
          <w:rFonts w:ascii="宋体" w:hAnsi="宋体"/>
          <w:b/>
          <w:bCs/>
          <w:color w:val="000000"/>
          <w:sz w:val="32"/>
        </w:rPr>
      </w:pPr>
      <w:r>
        <w:rPr>
          <w:rFonts w:hint="eastAsia"/>
          <w:b/>
          <w:sz w:val="32"/>
          <w:szCs w:val="32"/>
        </w:rPr>
        <w:t>第</w:t>
      </w:r>
      <w:r>
        <w:rPr>
          <w:rFonts w:hint="eastAsia" w:ascii="宋体" w:hAnsi="宋体"/>
          <w:b/>
          <w:bCs/>
          <w:color w:val="000000"/>
          <w:sz w:val="32"/>
        </w:rPr>
        <w:t xml:space="preserve">四节 </w:t>
      </w:r>
      <w:r>
        <w:rPr>
          <w:rFonts w:ascii="宋体" w:hAnsi="宋体"/>
          <w:b/>
          <w:bCs/>
          <w:color w:val="000000"/>
          <w:sz w:val="32"/>
        </w:rPr>
        <w:t xml:space="preserve"> </w:t>
      </w:r>
      <w:r>
        <w:rPr>
          <w:rFonts w:hint="eastAsia" w:ascii="宋体" w:hAnsi="宋体"/>
          <w:b/>
          <w:bCs/>
          <w:color w:val="000000"/>
          <w:sz w:val="32"/>
        </w:rPr>
        <w:t>给水设备</w:t>
      </w:r>
    </w:p>
    <w:p>
      <w:pPr>
        <w:spacing w:line="360" w:lineRule="auto"/>
        <w:rPr>
          <w:b/>
          <w:sz w:val="24"/>
          <w:szCs w:val="24"/>
        </w:rPr>
      </w:pPr>
      <w:r>
        <w:rPr>
          <w:b/>
          <w:sz w:val="24"/>
        </w:rPr>
        <w:t>1</w:t>
      </w:r>
      <w:r>
        <w:rPr>
          <w:rFonts w:hint="eastAsia"/>
          <w:b/>
          <w:sz w:val="24"/>
        </w:rPr>
        <w:t>、基本规定</w:t>
      </w:r>
    </w:p>
    <w:p>
      <w:pPr>
        <w:spacing w:line="360" w:lineRule="auto"/>
        <w:rPr>
          <w:sz w:val="24"/>
        </w:rPr>
      </w:pPr>
      <w:r>
        <w:rPr>
          <w:sz w:val="24"/>
        </w:rPr>
        <w:t xml:space="preserve">    (1) </w:t>
      </w:r>
      <w:r>
        <w:rPr>
          <w:rFonts w:hint="eastAsia"/>
          <w:sz w:val="24"/>
        </w:rPr>
        <w:t>排水泵应带有自动耦合装置，并按照设计提供的设备表内所注的技术参数、数量及类别提供合适的潜水泵。本承包商须按工程实际核实设计提供的技术参数，并把核对后的技术参数及时返馈给业主、监理工程师。</w:t>
      </w:r>
    </w:p>
    <w:p>
      <w:pPr>
        <w:spacing w:line="360" w:lineRule="auto"/>
        <w:ind w:firstLine="435"/>
        <w:rPr>
          <w:sz w:val="24"/>
        </w:rPr>
      </w:pPr>
      <w:r>
        <w:rPr>
          <w:sz w:val="24"/>
        </w:rPr>
        <w:t xml:space="preserve">(2) </w:t>
      </w:r>
      <w:r>
        <w:rPr>
          <w:rFonts w:hint="eastAsia"/>
          <w:sz w:val="24"/>
        </w:rPr>
        <w:t>本承包商在安装前应仔细阅读设备的安装说明。在储存及安装时采取正确地保护措施，以避免水泵因碰撞及锈蚀而受到损坏。所有受损坏的设备将不被接受。</w:t>
      </w:r>
    </w:p>
    <w:p>
      <w:pPr>
        <w:tabs>
          <w:tab w:val="left" w:pos="540"/>
        </w:tabs>
        <w:spacing w:line="360" w:lineRule="auto"/>
        <w:rPr>
          <w:sz w:val="24"/>
        </w:rPr>
      </w:pPr>
      <w:r>
        <w:rPr>
          <w:sz w:val="24"/>
        </w:rPr>
        <w:t xml:space="preserve">    (3) </w:t>
      </w:r>
      <w:r>
        <w:rPr>
          <w:rFonts w:hint="eastAsia"/>
          <w:sz w:val="24"/>
        </w:rPr>
        <w:t>每台水泵应附有原厂的标签，详细列明设备系列、型号、编号、制造商名称、技术参数及生产日期等资料。并应有完整的、中文标识的原厂产品说明书、操作及维护说明书。</w:t>
      </w:r>
    </w:p>
    <w:p>
      <w:pPr>
        <w:spacing w:line="360" w:lineRule="auto"/>
        <w:ind w:firstLine="482" w:firstLineChars="200"/>
        <w:rPr>
          <w:b/>
          <w:sz w:val="24"/>
        </w:rPr>
      </w:pPr>
      <w:r>
        <w:rPr>
          <w:b/>
          <w:sz w:val="24"/>
        </w:rPr>
        <w:t>2</w:t>
      </w:r>
      <w:r>
        <w:rPr>
          <w:rFonts w:hint="eastAsia"/>
          <w:b/>
          <w:sz w:val="24"/>
        </w:rPr>
        <w:t>、安装要求</w:t>
      </w:r>
    </w:p>
    <w:p>
      <w:pPr>
        <w:spacing w:line="360" w:lineRule="auto"/>
        <w:ind w:firstLine="480" w:firstLineChars="200"/>
        <w:rPr>
          <w:rFonts w:ascii="黑体" w:hAnsi="宋体" w:eastAsia="黑体"/>
          <w:b/>
          <w:bCs/>
          <w:color w:val="000000"/>
          <w:sz w:val="24"/>
        </w:rPr>
      </w:pPr>
      <w:r>
        <w:rPr>
          <w:rFonts w:hint="eastAsia" w:ascii="宋体" w:hAnsi="宋体"/>
          <w:color w:val="000000"/>
          <w:sz w:val="24"/>
        </w:rPr>
        <w:t>水泵安装前需编写设备安装方案。</w:t>
      </w:r>
    </w:p>
    <w:p>
      <w:pPr>
        <w:spacing w:line="360" w:lineRule="auto"/>
        <w:ind w:firstLine="420"/>
        <w:rPr>
          <w:rFonts w:ascii="宋体" w:hAnsi="宋体"/>
          <w:color w:val="000000"/>
          <w:sz w:val="24"/>
        </w:rPr>
      </w:pPr>
      <w:r>
        <w:rPr>
          <w:rFonts w:hint="eastAsia" w:ascii="宋体" w:hAnsi="宋体"/>
          <w:color w:val="000000"/>
          <w:sz w:val="24"/>
        </w:rPr>
        <w:t>1）、每台水泵应配备排气阀、排水阀、旋塞，进出口均需设压力表，压力表直径为100mm。</w:t>
      </w:r>
    </w:p>
    <w:p>
      <w:pPr>
        <w:spacing w:line="360" w:lineRule="auto"/>
        <w:rPr>
          <w:rFonts w:ascii="宋体" w:hAnsi="宋体"/>
          <w:color w:val="000000"/>
          <w:sz w:val="24"/>
        </w:rPr>
      </w:pPr>
      <w:r>
        <w:rPr>
          <w:rFonts w:hint="eastAsia" w:ascii="宋体" w:hAnsi="宋体"/>
          <w:color w:val="000000"/>
          <w:sz w:val="24"/>
        </w:rPr>
        <w:t xml:space="preserve">    2）、</w:t>
      </w:r>
      <w:r>
        <w:rPr>
          <w:rFonts w:hint="eastAsia"/>
          <w:sz w:val="24"/>
        </w:rPr>
        <w:t>压力表应连同旋塞安装于靠近泵或设备容易读数的位置。此外，压力表的读数应</w:t>
      </w:r>
    </w:p>
    <w:p>
      <w:pPr>
        <w:spacing w:line="360" w:lineRule="auto"/>
        <w:rPr>
          <w:rFonts w:ascii="Times New Roman" w:hAnsi="Times New Roman"/>
          <w:sz w:val="24"/>
        </w:rPr>
      </w:pPr>
      <w:r>
        <w:rPr>
          <w:rFonts w:hint="eastAsia"/>
          <w:sz w:val="24"/>
        </w:rPr>
        <w:t>为系统工作压力的</w:t>
      </w:r>
      <w:r>
        <w:rPr>
          <w:sz w:val="24"/>
        </w:rPr>
        <w:t>2</w:t>
      </w:r>
      <w:r>
        <w:rPr>
          <w:rFonts w:hint="eastAsia"/>
          <w:sz w:val="24"/>
        </w:rPr>
        <w:t>倍，每一压力表需提供隔离阀门。</w:t>
      </w:r>
    </w:p>
    <w:p>
      <w:pPr>
        <w:spacing w:line="360" w:lineRule="auto"/>
        <w:rPr>
          <w:rFonts w:ascii="宋体" w:hAnsi="宋体"/>
          <w:color w:val="000000"/>
          <w:sz w:val="24"/>
        </w:rPr>
      </w:pPr>
      <w:r>
        <w:rPr>
          <w:rFonts w:hint="eastAsia" w:ascii="宋体" w:hAnsi="宋体"/>
          <w:color w:val="000000"/>
          <w:sz w:val="24"/>
        </w:rPr>
        <w:t xml:space="preserve">    3)、混凝土基座和台座由土建专业负责建造，但承包人应于建造前提供技术详图和台架框架资料给业主、监理工程师审批。</w:t>
      </w:r>
    </w:p>
    <w:p>
      <w:pPr>
        <w:spacing w:line="360" w:lineRule="auto"/>
        <w:ind w:firstLine="480" w:firstLineChars="200"/>
        <w:rPr>
          <w:rFonts w:ascii="宋体" w:hAnsi="宋体"/>
          <w:color w:val="000000"/>
          <w:sz w:val="24"/>
        </w:rPr>
      </w:pPr>
      <w:r>
        <w:rPr>
          <w:rFonts w:hint="eastAsia" w:ascii="宋体" w:hAnsi="宋体"/>
          <w:color w:val="000000"/>
          <w:sz w:val="24"/>
        </w:rPr>
        <w:t>4)、基座高度应根据水泵生产商按强度和质量要求而建议的数据，并配合水泵吸水管接驳储水池出水口的高度。但基座高度不得少于150mm。</w:t>
      </w:r>
    </w:p>
    <w:p>
      <w:pPr>
        <w:spacing w:line="360" w:lineRule="auto"/>
        <w:ind w:firstLine="480" w:firstLineChars="200"/>
        <w:rPr>
          <w:rFonts w:ascii="宋体" w:hAnsi="宋体"/>
          <w:color w:val="000000"/>
          <w:sz w:val="24"/>
        </w:rPr>
      </w:pPr>
      <w:r>
        <w:rPr>
          <w:rFonts w:hint="eastAsia" w:ascii="宋体" w:hAnsi="宋体"/>
          <w:color w:val="000000"/>
          <w:sz w:val="24"/>
        </w:rPr>
        <w:t>5)、水泵均安装弹簧隔振器、管道采用减震吊架及支架以降低噪声，基础螺栓孔位置以到货的实际尺寸为准。</w:t>
      </w:r>
    </w:p>
    <w:p>
      <w:pPr>
        <w:spacing w:line="360" w:lineRule="auto"/>
        <w:ind w:firstLine="480" w:firstLineChars="200"/>
        <w:rPr>
          <w:rFonts w:ascii="宋体" w:hAnsi="宋体"/>
          <w:color w:val="000000"/>
          <w:sz w:val="24"/>
        </w:rPr>
      </w:pPr>
      <w:r>
        <w:rPr>
          <w:rFonts w:hint="eastAsia" w:ascii="宋体" w:hAnsi="宋体"/>
          <w:color w:val="000000"/>
          <w:sz w:val="24"/>
        </w:rPr>
        <w:t>6) 、水泵安装时需进行水平矫正。</w:t>
      </w:r>
    </w:p>
    <w:p>
      <w:pPr>
        <w:spacing w:line="360" w:lineRule="auto"/>
        <w:ind w:firstLine="480" w:firstLineChars="200"/>
        <w:rPr>
          <w:rFonts w:ascii="宋体" w:hAnsi="宋体"/>
          <w:color w:val="000000"/>
          <w:sz w:val="24"/>
        </w:rPr>
      </w:pPr>
      <w:r>
        <w:rPr>
          <w:rFonts w:hint="eastAsia" w:ascii="宋体" w:hAnsi="宋体"/>
          <w:color w:val="000000"/>
          <w:sz w:val="24"/>
        </w:rPr>
        <w:t>7)、水泵压盖密封的滴漏应用漏斗接载，并用钢塑管排放至最近的地漏或排水沟。</w:t>
      </w:r>
    </w:p>
    <w:p>
      <w:pPr>
        <w:spacing w:line="360" w:lineRule="auto"/>
        <w:rPr>
          <w:rFonts w:ascii="Times New Roman" w:hAnsi="Times New Roman"/>
          <w:sz w:val="24"/>
        </w:rPr>
      </w:pPr>
      <w:r>
        <w:rPr>
          <w:sz w:val="24"/>
        </w:rPr>
        <w:t>8)</w:t>
      </w:r>
      <w:r>
        <w:rPr>
          <w:rFonts w:hint="eastAsia"/>
          <w:sz w:val="24"/>
        </w:rPr>
        <w:t>、</w:t>
      </w:r>
      <w:r>
        <w:rPr>
          <w:rFonts w:hint="eastAsia" w:ascii="宋体" w:hAnsi="宋体"/>
          <w:color w:val="000000"/>
          <w:sz w:val="24"/>
        </w:rPr>
        <w:t>连接水泵出、入口处，需正确安装长半径偏心渐缩管。在邻近水泵的管道上需安装支架，以防泵壳承受重量。</w:t>
      </w:r>
    </w:p>
    <w:p>
      <w:pPr>
        <w:spacing w:line="360" w:lineRule="auto"/>
        <w:ind w:firstLine="480" w:firstLineChars="200"/>
        <w:rPr>
          <w:rFonts w:ascii="宋体" w:hAnsi="宋体"/>
          <w:color w:val="000000"/>
          <w:sz w:val="24"/>
        </w:rPr>
      </w:pPr>
      <w:r>
        <w:rPr>
          <w:sz w:val="24"/>
        </w:rPr>
        <w:t>9)</w:t>
      </w:r>
      <w:r>
        <w:rPr>
          <w:rFonts w:hint="eastAsia"/>
          <w:sz w:val="24"/>
        </w:rPr>
        <w:t>、水泵供电电缆须为潜水式，并应与水泵整体结构绝缘。电缆必须由水泵直接接驳至配电屏，中途间不允许任何接驳，故电缆长度必须通过实地度量确定。</w:t>
      </w:r>
    </w:p>
    <w:p>
      <w:pPr>
        <w:spacing w:line="360" w:lineRule="auto"/>
        <w:ind w:firstLine="480" w:firstLineChars="200"/>
        <w:rPr>
          <w:rFonts w:ascii="Times New Roman" w:hAnsi="Times New Roman"/>
          <w:sz w:val="24"/>
        </w:rPr>
      </w:pPr>
      <w:r>
        <w:rPr>
          <w:sz w:val="24"/>
        </w:rPr>
        <w:t>10</w:t>
      </w:r>
      <w:r>
        <w:rPr>
          <w:rFonts w:hint="eastAsia"/>
          <w:sz w:val="24"/>
        </w:rPr>
        <w:t>）、水泵控制箱、柜需提供手、自动状态、运行状态、过载报警、启、停控制等无源干接点，配线及端子排应与柜内其它线路及端子排分开、单独设置。</w:t>
      </w:r>
    </w:p>
    <w:p>
      <w:pPr>
        <w:spacing w:line="360" w:lineRule="auto"/>
        <w:ind w:firstLine="480" w:firstLineChars="200"/>
        <w:rPr>
          <w:sz w:val="24"/>
        </w:rPr>
      </w:pPr>
      <w:r>
        <w:rPr>
          <w:sz w:val="24"/>
        </w:rPr>
        <w:t>11)</w:t>
      </w:r>
      <w:r>
        <w:rPr>
          <w:rFonts w:hint="eastAsia"/>
          <w:sz w:val="24"/>
        </w:rPr>
        <w:t>、潜水泵：</w:t>
      </w:r>
    </w:p>
    <w:p>
      <w:pPr>
        <w:spacing w:line="360" w:lineRule="auto"/>
        <w:ind w:firstLine="240" w:firstLineChars="100"/>
        <w:rPr>
          <w:sz w:val="24"/>
        </w:rPr>
      </w:pPr>
      <w:r>
        <w:rPr>
          <w:sz w:val="24"/>
        </w:rPr>
        <w:t xml:space="preserve">  (1)</w:t>
      </w:r>
      <w:r>
        <w:rPr>
          <w:rFonts w:hint="eastAsia"/>
          <w:sz w:val="24"/>
        </w:rPr>
        <w:t>、除另有说明外，每个集水井都设有两台潜水泵，采用手动和自动两种控制方法，并能自动切换。</w:t>
      </w:r>
    </w:p>
    <w:p>
      <w:pPr>
        <w:spacing w:line="360" w:lineRule="auto"/>
        <w:rPr>
          <w:sz w:val="24"/>
        </w:rPr>
      </w:pPr>
      <w:r>
        <w:rPr>
          <w:sz w:val="24"/>
        </w:rPr>
        <w:t xml:space="preserve">    (2)</w:t>
      </w:r>
      <w:r>
        <w:rPr>
          <w:rFonts w:hint="eastAsia"/>
          <w:sz w:val="24"/>
        </w:rPr>
        <w:t>、自动控制开关须为适用于污水的工作环境。在设置双泵的集水井中需提供一组四个开关，使其在不同水深时控制水泵的运作，并在必要时发出警告。</w:t>
      </w:r>
    </w:p>
    <w:p>
      <w:pPr>
        <w:spacing w:line="360" w:lineRule="auto"/>
        <w:rPr>
          <w:sz w:val="24"/>
        </w:rPr>
      </w:pPr>
      <w:r>
        <w:rPr>
          <w:sz w:val="24"/>
        </w:rPr>
        <w:t xml:space="preserve">    (3)</w:t>
      </w:r>
      <w:r>
        <w:rPr>
          <w:rFonts w:hint="eastAsia"/>
          <w:sz w:val="24"/>
        </w:rPr>
        <w:t>、潜水泵的控制须为：</w:t>
      </w:r>
    </w:p>
    <w:p>
      <w:pPr>
        <w:spacing w:line="360" w:lineRule="auto"/>
        <w:rPr>
          <w:sz w:val="24"/>
        </w:rPr>
      </w:pPr>
      <w:r>
        <w:rPr>
          <w:rFonts w:hint="eastAsia"/>
          <w:sz w:val="24"/>
        </w:rPr>
        <w:t>①、当集水井的水位到达第一设定高水位时，浮式水位控制器指令其中一台水泵开始运转，直至水位降到低水位线上；</w:t>
      </w:r>
    </w:p>
    <w:p>
      <w:pPr>
        <w:spacing w:line="360" w:lineRule="auto"/>
        <w:rPr>
          <w:sz w:val="24"/>
        </w:rPr>
      </w:pPr>
      <w:r>
        <w:rPr>
          <w:rFonts w:hint="eastAsia"/>
          <w:sz w:val="24"/>
        </w:rPr>
        <w:t>②、若水位继续上升至第二设定高水位时，另一台水泵需同时运转，直至水位降到低水位线，两台水泵才停止工作；</w:t>
      </w:r>
    </w:p>
    <w:p>
      <w:pPr>
        <w:spacing w:line="360" w:lineRule="auto"/>
        <w:rPr>
          <w:sz w:val="24"/>
        </w:rPr>
      </w:pPr>
      <w:r>
        <w:rPr>
          <w:rFonts w:hint="eastAsia"/>
          <w:sz w:val="24"/>
        </w:rPr>
        <w:t>③、在集水井控制屏上，需提供超高水位警铃，当水位上升至警位线时，启动警铃和警灯；</w:t>
      </w:r>
    </w:p>
    <w:p>
      <w:pPr>
        <w:spacing w:line="360" w:lineRule="auto"/>
        <w:rPr>
          <w:sz w:val="24"/>
        </w:rPr>
      </w:pPr>
      <w:r>
        <w:rPr>
          <w:rFonts w:hint="eastAsia"/>
          <w:sz w:val="24"/>
        </w:rPr>
        <w:t>④、每套潜水泵系统应设有先后启动选择和自动交替装置，使水泵交替运行。当一台泵工作一个周期后，另一台在下个周期自动转替为工作状态。</w:t>
      </w:r>
    </w:p>
    <w:p>
      <w:pPr>
        <w:spacing w:line="360" w:lineRule="auto"/>
        <w:rPr>
          <w:b/>
          <w:sz w:val="24"/>
        </w:rPr>
      </w:pPr>
      <w:r>
        <w:rPr>
          <w:b/>
          <w:sz w:val="24"/>
        </w:rPr>
        <w:t xml:space="preserve"> 3</w:t>
      </w:r>
      <w:r>
        <w:rPr>
          <w:rFonts w:hint="eastAsia"/>
          <w:b/>
          <w:sz w:val="24"/>
        </w:rPr>
        <w:t>、安装测试</w:t>
      </w:r>
    </w:p>
    <w:p>
      <w:pPr>
        <w:spacing w:line="360" w:lineRule="auto"/>
        <w:ind w:firstLine="204" w:firstLineChars="85"/>
        <w:rPr>
          <w:sz w:val="24"/>
        </w:rPr>
      </w:pPr>
      <w:r>
        <w:rPr>
          <w:sz w:val="24"/>
        </w:rPr>
        <w:t xml:space="preserve">  (1) </w:t>
      </w:r>
      <w:r>
        <w:rPr>
          <w:rFonts w:hint="eastAsia"/>
          <w:sz w:val="24"/>
        </w:rPr>
        <w:t>水泵安装完成后进行调试工作，此工作须有水泵供货商、业主、监理工程师在场方可进行。</w:t>
      </w:r>
    </w:p>
    <w:p>
      <w:pPr>
        <w:spacing w:line="360" w:lineRule="auto"/>
        <w:ind w:firstLine="204" w:firstLineChars="85"/>
        <w:rPr>
          <w:sz w:val="24"/>
        </w:rPr>
      </w:pPr>
      <w:r>
        <w:rPr>
          <w:sz w:val="24"/>
        </w:rPr>
        <w:t xml:space="preserve">  (2) </w:t>
      </w:r>
      <w:r>
        <w:rPr>
          <w:rFonts w:hint="eastAsia"/>
          <w:sz w:val="24"/>
        </w:rPr>
        <w:t>调试应按设备操作说明及有关规范进行，以验证其功能符合本设计的要求。</w:t>
      </w:r>
    </w:p>
    <w:p>
      <w:pPr>
        <w:spacing w:line="360" w:lineRule="auto"/>
        <w:ind w:firstLine="204" w:firstLineChars="85"/>
        <w:rPr>
          <w:sz w:val="24"/>
        </w:rPr>
      </w:pPr>
      <w:r>
        <w:rPr>
          <w:sz w:val="24"/>
        </w:rPr>
        <w:t xml:space="preserve">  (3) </w:t>
      </w:r>
      <w:r>
        <w:rPr>
          <w:rFonts w:hint="eastAsia"/>
          <w:sz w:val="24"/>
        </w:rPr>
        <w:t>检查所有线路的接驳及导电性能。测试所有继电器及逻辑控制的性能。</w:t>
      </w:r>
    </w:p>
    <w:p>
      <w:pPr>
        <w:spacing w:line="360" w:lineRule="auto"/>
        <w:ind w:firstLine="204" w:firstLineChars="85"/>
        <w:rPr>
          <w:sz w:val="24"/>
        </w:rPr>
      </w:pPr>
      <w:r>
        <w:rPr>
          <w:sz w:val="24"/>
        </w:rPr>
        <w:t xml:space="preserve">  (4) </w:t>
      </w:r>
      <w:r>
        <w:rPr>
          <w:rFonts w:hint="eastAsia"/>
          <w:sz w:val="24"/>
        </w:rPr>
        <w:t>过量的震动或躁音须即时进行整改，或更换损坏部件并重新测试。</w:t>
      </w:r>
    </w:p>
    <w:p>
      <w:pPr>
        <w:spacing w:line="360" w:lineRule="auto"/>
        <w:ind w:firstLine="204" w:firstLineChars="85"/>
        <w:rPr>
          <w:sz w:val="24"/>
        </w:rPr>
      </w:pPr>
      <w:r>
        <w:rPr>
          <w:sz w:val="24"/>
        </w:rPr>
        <w:t xml:space="preserve">  (5) </w:t>
      </w:r>
      <w:r>
        <w:rPr>
          <w:rFonts w:hint="eastAsia"/>
          <w:sz w:val="24"/>
        </w:rPr>
        <w:t>联同自动控制供应商代表测试自动控制系统，作出必要的调整以保证提供正确的控制系统。</w:t>
      </w:r>
    </w:p>
    <w:p>
      <w:pPr>
        <w:spacing w:line="360" w:lineRule="auto"/>
        <w:ind w:firstLine="204" w:firstLineChars="85"/>
        <w:rPr>
          <w:sz w:val="24"/>
        </w:rPr>
      </w:pPr>
    </w:p>
    <w:p>
      <w:pPr>
        <w:spacing w:line="360" w:lineRule="auto"/>
        <w:jc w:val="center"/>
        <w:rPr>
          <w:rFonts w:ascii="宋体" w:hAnsi="宋体"/>
          <w:b/>
          <w:bCs/>
          <w:color w:val="000000"/>
          <w:sz w:val="32"/>
        </w:rPr>
      </w:pPr>
      <w:r>
        <w:rPr>
          <w:rFonts w:hint="eastAsia" w:ascii="宋体" w:hAnsi="宋体"/>
          <w:b/>
          <w:bCs/>
          <w:color w:val="000000"/>
          <w:sz w:val="32"/>
        </w:rPr>
        <w:t>第五节  油漆及标签</w:t>
      </w:r>
    </w:p>
    <w:p>
      <w:pPr>
        <w:spacing w:line="360" w:lineRule="auto"/>
        <w:ind w:firstLine="420" w:firstLineChars="200"/>
        <w:rPr>
          <w:rFonts w:ascii="宋体" w:hAnsi="宋体"/>
          <w:color w:val="000000"/>
        </w:rPr>
      </w:pPr>
    </w:p>
    <w:p>
      <w:pPr>
        <w:spacing w:line="360" w:lineRule="auto"/>
        <w:ind w:firstLine="420" w:firstLineChars="200"/>
        <w:rPr>
          <w:rFonts w:ascii="宋体" w:hAnsi="宋体"/>
          <w:color w:val="000000"/>
          <w:sz w:val="24"/>
        </w:rPr>
      </w:pPr>
      <w:r>
        <w:rPr>
          <w:rFonts w:hint="eastAsia" w:ascii="宋体" w:hAnsi="宋体"/>
          <w:color w:val="000000"/>
        </w:rPr>
        <w:t>一、</w:t>
      </w:r>
      <w:r>
        <w:rPr>
          <w:rFonts w:hint="eastAsia" w:ascii="宋体" w:hAnsi="宋体"/>
          <w:color w:val="000000"/>
          <w:sz w:val="24"/>
        </w:rPr>
        <w:t>本节说明有关给、排水系统的设备、水管和其他配件的油漆标签工作所需材料的要求及涂漆和标识的方法。</w:t>
      </w:r>
    </w:p>
    <w:p>
      <w:pPr>
        <w:spacing w:line="360" w:lineRule="auto"/>
        <w:ind w:firstLine="480" w:firstLineChars="200"/>
        <w:rPr>
          <w:rFonts w:ascii="宋体" w:hAnsi="宋体"/>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二、基本规定</w:t>
      </w:r>
    </w:p>
    <w:p>
      <w:pPr>
        <w:spacing w:line="360" w:lineRule="auto"/>
        <w:ind w:firstLine="480" w:firstLineChars="200"/>
        <w:rPr>
          <w:rFonts w:ascii="宋体" w:hAnsi="宋体"/>
          <w:color w:val="000000"/>
          <w:sz w:val="24"/>
        </w:rPr>
      </w:pPr>
      <w:r>
        <w:rPr>
          <w:rFonts w:hint="eastAsia" w:ascii="宋体" w:hAnsi="宋体"/>
          <w:color w:val="000000"/>
          <w:sz w:val="24"/>
        </w:rPr>
        <w:t>1、所有设备和水管须按本节内所述要求提供所需的外层保护和修饰涂漆。</w:t>
      </w:r>
    </w:p>
    <w:p>
      <w:pPr>
        <w:spacing w:line="360" w:lineRule="auto"/>
        <w:ind w:firstLine="480" w:firstLineChars="200"/>
        <w:rPr>
          <w:rFonts w:ascii="宋体" w:hAnsi="宋体"/>
          <w:color w:val="000000"/>
          <w:sz w:val="24"/>
        </w:rPr>
      </w:pPr>
      <w:r>
        <w:rPr>
          <w:rFonts w:hint="eastAsia" w:ascii="宋体" w:hAnsi="宋体"/>
          <w:color w:val="000000"/>
          <w:sz w:val="24"/>
        </w:rPr>
        <w:t>2、所有铁件或钢件包括管道、支架、吊架、结构钢框、设备基座等都须加以涂漆作保护。而所用的螺栓、螺母及垫片等须由防锈金属材料制成。</w:t>
      </w:r>
    </w:p>
    <w:p>
      <w:pPr>
        <w:spacing w:line="360" w:lineRule="auto"/>
        <w:ind w:firstLine="480" w:firstLineChars="200"/>
        <w:rPr>
          <w:rFonts w:ascii="宋体" w:hAnsi="宋体"/>
          <w:color w:val="000000"/>
          <w:sz w:val="24"/>
        </w:rPr>
      </w:pPr>
      <w:r>
        <w:rPr>
          <w:rFonts w:hint="eastAsia" w:ascii="宋体" w:hAnsi="宋体"/>
          <w:color w:val="000000"/>
          <w:sz w:val="24"/>
        </w:rPr>
        <w:t>3、须严格遵照防锈底漆和外层面漆生产商的指示进行涂漆。同时为确保各种油漆互相兼容，应采用同一厂家的油漆产品。</w:t>
      </w:r>
    </w:p>
    <w:p>
      <w:pPr>
        <w:spacing w:line="360" w:lineRule="auto"/>
        <w:ind w:firstLine="480" w:firstLineChars="200"/>
        <w:rPr>
          <w:rFonts w:ascii="宋体" w:hAnsi="宋体"/>
          <w:color w:val="000000"/>
          <w:sz w:val="24"/>
        </w:rPr>
      </w:pPr>
      <w:r>
        <w:rPr>
          <w:rFonts w:hint="eastAsia" w:ascii="宋体" w:hAnsi="宋体"/>
          <w:color w:val="000000"/>
          <w:sz w:val="24"/>
        </w:rPr>
        <w:t>4、在气温低于摄氏四度或相对湿度高于百份之九十的环境下不能进行油漆工作。当有关保护处理工作进行期间，须对正受处理的产品加以保护免受外界气候环境影响，直至有关工作完成为止。</w:t>
      </w:r>
    </w:p>
    <w:p>
      <w:pPr>
        <w:spacing w:line="360" w:lineRule="auto"/>
        <w:ind w:firstLine="480" w:firstLineChars="200"/>
        <w:rPr>
          <w:rFonts w:ascii="宋体" w:hAnsi="宋体"/>
          <w:color w:val="000000"/>
          <w:sz w:val="24"/>
        </w:rPr>
      </w:pPr>
      <w:r>
        <w:rPr>
          <w:rFonts w:hint="eastAsia" w:ascii="宋体" w:hAnsi="宋体"/>
          <w:color w:val="000000"/>
          <w:sz w:val="24"/>
        </w:rPr>
        <w:t>5、所有的油漆产品均须符合当地消防局的要求。</w:t>
      </w:r>
    </w:p>
    <w:p>
      <w:pPr>
        <w:spacing w:line="360" w:lineRule="auto"/>
        <w:ind w:firstLine="480" w:firstLineChars="200"/>
        <w:rPr>
          <w:rFonts w:ascii="宋体" w:hAnsi="宋体"/>
          <w:color w:val="000000"/>
          <w:sz w:val="24"/>
        </w:rPr>
      </w:pPr>
      <w:r>
        <w:rPr>
          <w:rFonts w:hint="eastAsia" w:ascii="宋体" w:hAnsi="宋体"/>
          <w:color w:val="000000"/>
          <w:sz w:val="24"/>
        </w:rPr>
        <w:t>6、所有已经处理的设备，无论在运输、储存和安装期间，必须特加小心以减少在吊运安装时，保护层受损坏。如确受损坏的地方，则需重新进行彻底处理。所有已涂上最终面漆的设备，更需在付运前妥为包装保护。</w:t>
      </w:r>
    </w:p>
    <w:p>
      <w:pPr>
        <w:spacing w:line="360" w:lineRule="auto"/>
        <w:ind w:firstLine="480" w:firstLineChars="200"/>
        <w:rPr>
          <w:rFonts w:ascii="宋体" w:hAnsi="宋体"/>
          <w:color w:val="000000"/>
          <w:sz w:val="24"/>
        </w:rPr>
      </w:pPr>
      <w:r>
        <w:rPr>
          <w:rFonts w:hint="eastAsia" w:ascii="宋体" w:hAnsi="宋体"/>
          <w:color w:val="000000"/>
          <w:sz w:val="24"/>
        </w:rPr>
        <w:t>7、每一层的涂漆均须按照规定的方法进行施工，以确保能提供均匀的油漆涂层。同时在做下层油漆涂层前须确定已涂的油漆层已干透和表面无灰尘及污物。</w:t>
      </w:r>
    </w:p>
    <w:p>
      <w:pPr>
        <w:spacing w:line="360" w:lineRule="auto"/>
        <w:ind w:firstLine="480" w:firstLineChars="200"/>
        <w:rPr>
          <w:rFonts w:ascii="宋体" w:hAnsi="宋体"/>
          <w:color w:val="000000"/>
          <w:sz w:val="24"/>
        </w:rPr>
      </w:pPr>
      <w:r>
        <w:rPr>
          <w:rFonts w:hint="eastAsia" w:ascii="宋体" w:hAnsi="宋体"/>
          <w:color w:val="000000"/>
          <w:sz w:val="24"/>
        </w:rPr>
        <w:t>8、镀锌钢制材料、不锈钢件、塑料件或铜件只涂面漆已示区别。</w:t>
      </w:r>
    </w:p>
    <w:p>
      <w:pPr>
        <w:spacing w:line="360" w:lineRule="auto"/>
        <w:ind w:left="1244" w:leftChars="364" w:hanging="480" w:hangingChars="200"/>
        <w:rPr>
          <w:rFonts w:ascii="宋体" w:hAnsi="宋体"/>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三、质量保证</w:t>
      </w:r>
    </w:p>
    <w:p>
      <w:pPr>
        <w:spacing w:line="360" w:lineRule="auto"/>
        <w:ind w:firstLine="480" w:firstLineChars="200"/>
        <w:rPr>
          <w:rFonts w:ascii="宋体" w:hAnsi="宋体"/>
          <w:color w:val="000000"/>
          <w:sz w:val="24"/>
        </w:rPr>
      </w:pPr>
      <w:r>
        <w:rPr>
          <w:rFonts w:hint="eastAsia" w:ascii="宋体" w:hAnsi="宋体"/>
          <w:color w:val="000000"/>
          <w:sz w:val="24"/>
        </w:rPr>
        <w:t>1、所有油漆产品的生产商必须具有不少于10年的生产油漆产品经验。所生产的产品必须符合国家的有关规定，并须提交原厂的质量保证文件及产品说明书。</w:t>
      </w:r>
    </w:p>
    <w:p>
      <w:pPr>
        <w:spacing w:line="360" w:lineRule="auto"/>
        <w:ind w:firstLine="480" w:firstLineChars="200"/>
        <w:rPr>
          <w:rFonts w:ascii="宋体" w:hAnsi="宋体"/>
          <w:color w:val="000000"/>
          <w:sz w:val="24"/>
        </w:rPr>
      </w:pPr>
      <w:r>
        <w:rPr>
          <w:rFonts w:hint="eastAsia" w:ascii="宋体" w:hAnsi="宋体"/>
          <w:color w:val="000000"/>
          <w:sz w:val="24"/>
        </w:rPr>
        <w:t>2、须提交油漆的色彩样品供审批。</w:t>
      </w:r>
    </w:p>
    <w:p>
      <w:pPr>
        <w:spacing w:line="360" w:lineRule="auto"/>
        <w:ind w:firstLine="480" w:firstLineChars="200"/>
        <w:rPr>
          <w:rFonts w:ascii="宋体" w:hAnsi="宋体"/>
          <w:color w:val="000000"/>
          <w:sz w:val="24"/>
        </w:rPr>
      </w:pPr>
      <w:r>
        <w:rPr>
          <w:rFonts w:hint="eastAsia" w:ascii="宋体" w:hAnsi="宋体"/>
          <w:color w:val="000000"/>
          <w:sz w:val="24"/>
        </w:rPr>
        <w:t>3、所有油漆须在厂家指定使用年限内使用。同时有关油漆在开启使用后不容许再加添新油或稀释剂。</w:t>
      </w:r>
    </w:p>
    <w:p>
      <w:pPr>
        <w:spacing w:line="360" w:lineRule="auto"/>
        <w:ind w:firstLine="480" w:firstLineChars="200"/>
        <w:rPr>
          <w:rFonts w:ascii="宋体" w:hAnsi="宋体"/>
          <w:color w:val="000000"/>
          <w:sz w:val="24"/>
        </w:rPr>
      </w:pPr>
      <w:r>
        <w:rPr>
          <w:rFonts w:hint="eastAsia" w:ascii="宋体" w:hAnsi="宋体"/>
          <w:color w:val="000000"/>
          <w:sz w:val="24"/>
        </w:rPr>
        <w:t>4、涂于所有钢铁表面及金属镀层表面的总干涂漆层厚度须按照本说明要求，但最薄不能少于0.2㎜。</w:t>
      </w:r>
    </w:p>
    <w:p>
      <w:pPr>
        <w:spacing w:line="360" w:lineRule="auto"/>
        <w:ind w:firstLine="480" w:firstLineChars="200"/>
        <w:rPr>
          <w:rFonts w:ascii="宋体" w:hAnsi="宋体"/>
          <w:color w:val="000000"/>
          <w:sz w:val="24"/>
        </w:rPr>
      </w:pPr>
      <w:r>
        <w:rPr>
          <w:rFonts w:hint="eastAsia" w:ascii="宋体" w:hAnsi="宋体"/>
          <w:color w:val="000000"/>
          <w:sz w:val="24"/>
        </w:rPr>
        <w:t>5、所有钢铁制品包括水管、支架、吊架和用于装配部件等钢材须提供不少于一层底漆（防锈漆）、一层内层涂漆及两层面漆（如醇酸瓷漆等）。</w:t>
      </w:r>
    </w:p>
    <w:p>
      <w:pPr>
        <w:spacing w:line="360" w:lineRule="auto"/>
        <w:ind w:left="1244" w:leftChars="364" w:hanging="480" w:hangingChars="200"/>
        <w:rPr>
          <w:rFonts w:ascii="宋体" w:hAnsi="宋体"/>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四、色标：</w:t>
      </w:r>
    </w:p>
    <w:p>
      <w:pPr>
        <w:spacing w:line="360" w:lineRule="auto"/>
        <w:ind w:firstLine="482" w:firstLineChars="200"/>
        <w:rPr>
          <w:rFonts w:ascii="宋体" w:hAnsi="宋体"/>
          <w:b/>
          <w:color w:val="000000"/>
          <w:sz w:val="24"/>
        </w:rPr>
      </w:pPr>
      <w:r>
        <w:rPr>
          <w:rFonts w:hint="eastAsia" w:ascii="宋体" w:hAnsi="宋体"/>
          <w:b/>
          <w:color w:val="000000"/>
          <w:sz w:val="24"/>
        </w:rPr>
        <w:t>1、管道面漆色彩按《室内给排水设计说明》相关说明执行。</w:t>
      </w:r>
    </w:p>
    <w:p>
      <w:pPr>
        <w:spacing w:line="360" w:lineRule="auto"/>
        <w:ind w:firstLine="480" w:firstLineChars="200"/>
        <w:rPr>
          <w:rFonts w:ascii="宋体" w:hAnsi="宋体"/>
          <w:color w:val="000000"/>
          <w:sz w:val="24"/>
        </w:rPr>
      </w:pPr>
      <w:r>
        <w:rPr>
          <w:rFonts w:hint="eastAsia" w:ascii="宋体" w:hAnsi="宋体"/>
          <w:color w:val="000000"/>
          <w:sz w:val="24"/>
        </w:rPr>
        <w:t>2、所有阀门的手轮一律涂上白漆，而阀体则须涂上与其所相连接的管道同一颜色的油漆。</w:t>
      </w:r>
    </w:p>
    <w:p>
      <w:pPr>
        <w:spacing w:line="360" w:lineRule="auto"/>
        <w:ind w:firstLine="480" w:firstLineChars="200"/>
        <w:rPr>
          <w:rFonts w:ascii="宋体" w:hAnsi="宋体"/>
          <w:color w:val="000000"/>
          <w:sz w:val="24"/>
        </w:rPr>
      </w:pPr>
      <w:r>
        <w:rPr>
          <w:rFonts w:hint="eastAsia" w:ascii="宋体" w:hAnsi="宋体"/>
          <w:color w:val="000000"/>
          <w:sz w:val="24"/>
        </w:rPr>
        <w:t>3、有关水管和设备的吊架、支架和隔震器须涂上与其所属的管道同一颜色的油漆。</w:t>
      </w:r>
    </w:p>
    <w:p>
      <w:pPr>
        <w:spacing w:line="360" w:lineRule="auto"/>
        <w:ind w:firstLine="482" w:firstLineChars="200"/>
        <w:rPr>
          <w:rFonts w:ascii="黑体" w:hAnsi="宋体" w:eastAsia="黑体"/>
          <w:b/>
          <w:bCs/>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五、标签</w:t>
      </w:r>
    </w:p>
    <w:p>
      <w:pPr>
        <w:spacing w:line="360" w:lineRule="auto"/>
        <w:ind w:firstLine="480" w:firstLineChars="200"/>
        <w:rPr>
          <w:rFonts w:ascii="宋体" w:hAnsi="宋体"/>
          <w:color w:val="000000"/>
          <w:sz w:val="24"/>
        </w:rPr>
      </w:pPr>
      <w:r>
        <w:rPr>
          <w:rFonts w:hint="eastAsia" w:ascii="宋体" w:hAnsi="宋体"/>
          <w:color w:val="000000"/>
          <w:sz w:val="24"/>
        </w:rPr>
        <w:t>1、所有安装的设备须按其功能或系统以中文及英文提供标志名牌，而有关标记须与竣工图的设备表、示意图等互相吻合。标志名牌一般采用背刻以红字的不碎透明塑料胶片、或刻以白字的黑白相间塑胶片的材料。</w:t>
      </w:r>
    </w:p>
    <w:p>
      <w:pPr>
        <w:spacing w:line="360" w:lineRule="auto"/>
        <w:ind w:firstLine="480" w:firstLineChars="200"/>
        <w:rPr>
          <w:rFonts w:ascii="宋体" w:hAnsi="宋体"/>
          <w:color w:val="000000"/>
          <w:sz w:val="24"/>
        </w:rPr>
      </w:pPr>
      <w:r>
        <w:rPr>
          <w:rFonts w:hint="eastAsia" w:ascii="宋体" w:hAnsi="宋体"/>
          <w:color w:val="000000"/>
          <w:sz w:val="24"/>
        </w:rPr>
        <w:t>2、整个系统内的每个阀门均须在手轮上刻上白字和直径及厚度分别不少于50㎜和1.5㎜的圆形黑白相间塑胶片作标记。</w:t>
      </w:r>
    </w:p>
    <w:p>
      <w:pPr>
        <w:spacing w:line="360" w:lineRule="auto"/>
        <w:ind w:firstLine="480" w:firstLineChars="200"/>
        <w:rPr>
          <w:rFonts w:ascii="宋体" w:hAnsi="宋体"/>
          <w:color w:val="000000"/>
          <w:sz w:val="24"/>
        </w:rPr>
      </w:pPr>
      <w:r>
        <w:rPr>
          <w:rFonts w:hint="eastAsia" w:ascii="宋体" w:hAnsi="宋体"/>
          <w:color w:val="000000"/>
          <w:sz w:val="24"/>
        </w:rPr>
        <w:t>3、提供流向指示箭头和文字标记以指示有关管道内的水流向及所属系统。给水管道表面采用白色箭头和文字标记，排水管道用黑色箭头和文字标记。</w:t>
      </w:r>
    </w:p>
    <w:p>
      <w:pPr>
        <w:spacing w:line="360" w:lineRule="auto"/>
        <w:ind w:left="1244" w:leftChars="364" w:hanging="480" w:hangingChars="200"/>
        <w:rPr>
          <w:rFonts w:ascii="宋体" w:hAnsi="宋体"/>
          <w:color w:val="000000"/>
          <w:sz w:val="24"/>
        </w:rPr>
      </w:pPr>
    </w:p>
    <w:p>
      <w:pPr>
        <w:spacing w:line="360" w:lineRule="auto"/>
        <w:ind w:firstLine="482" w:firstLineChars="200"/>
        <w:rPr>
          <w:rFonts w:ascii="黑体" w:hAnsi="宋体" w:eastAsia="黑体"/>
          <w:b/>
          <w:bCs/>
          <w:color w:val="000000"/>
          <w:sz w:val="24"/>
        </w:rPr>
      </w:pPr>
      <w:r>
        <w:rPr>
          <w:rFonts w:hint="eastAsia" w:ascii="黑体" w:hAnsi="宋体" w:eastAsia="黑体"/>
          <w:b/>
          <w:bCs/>
          <w:color w:val="000000"/>
          <w:sz w:val="24"/>
        </w:rPr>
        <w:t>六、施工安排</w:t>
      </w:r>
    </w:p>
    <w:p>
      <w:pPr>
        <w:spacing w:line="360" w:lineRule="auto"/>
        <w:ind w:firstLine="480" w:firstLineChars="200"/>
        <w:rPr>
          <w:rFonts w:ascii="宋体" w:hAnsi="宋体"/>
          <w:color w:val="000000"/>
          <w:sz w:val="24"/>
        </w:rPr>
      </w:pPr>
      <w:r>
        <w:rPr>
          <w:rFonts w:hint="eastAsia" w:ascii="宋体" w:hAnsi="宋体"/>
          <w:color w:val="000000"/>
          <w:sz w:val="24"/>
        </w:rPr>
        <w:t>1、所有需涂漆的金属表面必须要干燥和要彻底清除一切会影响涂漆工作进行的污染杂物如灰尘、油脂、锈蚀或垢渍。</w:t>
      </w:r>
    </w:p>
    <w:p>
      <w:pPr>
        <w:spacing w:line="360" w:lineRule="auto"/>
        <w:ind w:firstLine="480" w:firstLineChars="200"/>
        <w:rPr>
          <w:rFonts w:ascii="宋体" w:hAnsi="宋体"/>
          <w:color w:val="000000"/>
          <w:sz w:val="24"/>
        </w:rPr>
      </w:pPr>
      <w:r>
        <w:rPr>
          <w:rFonts w:hint="eastAsia" w:ascii="宋体" w:hAnsi="宋体"/>
          <w:color w:val="000000"/>
          <w:sz w:val="24"/>
        </w:rPr>
        <w:t>2、每一层涂漆的颜色须各有区别以便于辩别、检查和测度。</w:t>
      </w:r>
    </w:p>
    <w:p>
      <w:pPr>
        <w:spacing w:line="360" w:lineRule="auto"/>
        <w:ind w:firstLine="480" w:firstLineChars="200"/>
        <w:rPr>
          <w:rFonts w:ascii="宋体" w:hAnsi="宋体"/>
          <w:color w:val="000000"/>
          <w:sz w:val="24"/>
        </w:rPr>
      </w:pPr>
      <w:r>
        <w:rPr>
          <w:rFonts w:hint="eastAsia" w:ascii="宋体" w:hAnsi="宋体"/>
          <w:color w:val="000000"/>
          <w:sz w:val="24"/>
        </w:rPr>
        <w:t>3、采用一合适的化学或酸洗溶液清洗所有附在低碳钢或其他铁质金属表面的污垢、油脂、初起的锈渍等污染杂物，然后依照油漆供应商所建议的方法进行。</w:t>
      </w:r>
    </w:p>
    <w:p>
      <w:pPr>
        <w:spacing w:line="360" w:lineRule="auto"/>
        <w:ind w:firstLine="480" w:firstLineChars="200"/>
        <w:rPr>
          <w:rFonts w:ascii="宋体" w:hAnsi="宋体"/>
          <w:color w:val="000000"/>
          <w:sz w:val="24"/>
        </w:rPr>
      </w:pPr>
      <w:r>
        <w:rPr>
          <w:rFonts w:hint="eastAsia" w:ascii="宋体" w:hAnsi="宋体"/>
          <w:color w:val="000000"/>
          <w:sz w:val="24"/>
        </w:rPr>
        <w:t>4、所有经过清理、预处理、干燥或已作涂漆准备的金属表面，必须尽快提交监理工程师检查合格后，涂上防锈底漆保护，以避免表面再受锈损。</w:t>
      </w:r>
    </w:p>
    <w:p>
      <w:pPr>
        <w:spacing w:line="360" w:lineRule="auto"/>
        <w:ind w:firstLine="480" w:firstLineChars="200"/>
        <w:rPr>
          <w:rFonts w:ascii="宋体" w:hAnsi="宋体"/>
          <w:color w:val="000000"/>
          <w:sz w:val="24"/>
        </w:rPr>
      </w:pPr>
      <w:r>
        <w:rPr>
          <w:rFonts w:hint="eastAsia" w:ascii="宋体" w:hAnsi="宋体"/>
          <w:color w:val="000000"/>
          <w:sz w:val="24"/>
        </w:rPr>
        <w:t>5、须严格遵守由生产商所推荐的涂漆程序包括提供在涂底漆前所需的化学处理，务求使各涂漆层间获得更好的兼容效果。同时各有关工作人员在处理、储存和使用油漆材料时严格遵守有关的安全守则、当地的规定和油漆供应商所列的注意事项等，以提供一个安全及健康的工作环境。</w:t>
      </w:r>
    </w:p>
    <w:p>
      <w:pPr>
        <w:spacing w:line="360" w:lineRule="auto"/>
        <w:ind w:firstLine="480" w:firstLineChars="200"/>
        <w:rPr>
          <w:rFonts w:ascii="宋体" w:hAnsi="宋体"/>
          <w:color w:val="000000"/>
          <w:sz w:val="24"/>
        </w:rPr>
      </w:pPr>
      <w:r>
        <w:rPr>
          <w:rFonts w:hint="eastAsia" w:ascii="宋体" w:hAnsi="宋体"/>
          <w:color w:val="000000"/>
          <w:sz w:val="24"/>
        </w:rPr>
        <w:t>6、所有盛装油漆材料的容器必须清楚印上商标、产品编号和厂家名称。每加仑/公斤的油漆所能涂盖的表面面积不能超越由油漆生产商所定的标准。</w:t>
      </w:r>
    </w:p>
    <w:p>
      <w:pPr>
        <w:spacing w:line="360" w:lineRule="auto"/>
        <w:ind w:firstLine="480" w:firstLineChars="200"/>
        <w:rPr>
          <w:rFonts w:ascii="宋体" w:hAnsi="宋体"/>
          <w:color w:val="000000"/>
          <w:sz w:val="24"/>
        </w:rPr>
      </w:pPr>
      <w:r>
        <w:rPr>
          <w:rFonts w:hint="eastAsia" w:ascii="宋体" w:hAnsi="宋体"/>
          <w:color w:val="000000"/>
          <w:sz w:val="24"/>
        </w:rPr>
        <w:t>7、所有设备的外壳和金属部件须按照其拟定的用途和操作要求提供不少于一层防锈底漆、一层内层涂漆及一至两层面漆。同时在施行涂漆前，所有金属标面均须经过不同程序的预处理保护例如：化学清理、噴沙打磨、酸洗处理、热镀或电镀锌等处理。</w:t>
      </w:r>
    </w:p>
    <w:p>
      <w:pPr>
        <w:spacing w:line="360" w:lineRule="auto"/>
        <w:ind w:firstLine="480" w:firstLineChars="200"/>
        <w:rPr>
          <w:rFonts w:ascii="宋体" w:hAnsi="宋体"/>
          <w:color w:val="000000"/>
          <w:sz w:val="24"/>
        </w:rPr>
      </w:pPr>
      <w:r>
        <w:rPr>
          <w:rFonts w:hint="eastAsia" w:ascii="宋体" w:hAnsi="宋体"/>
          <w:color w:val="000000"/>
          <w:sz w:val="24"/>
        </w:rPr>
        <w:t>8、如在设备运输、储存或安装期间涂漆层受到损坏时，则须无偿地采用与原厂相同的油漆将整个设备重新返刷。在重新返刷底漆及内外面漆前，须先将旧有的油漆铲除，再经化学清理，清洗和其他必须的预处理保护。</w:t>
      </w:r>
    </w:p>
    <w:p>
      <w:pPr>
        <w:spacing w:line="360" w:lineRule="auto"/>
        <w:ind w:firstLine="480" w:firstLineChars="200"/>
        <w:rPr>
          <w:rFonts w:ascii="宋体" w:hAnsi="宋体"/>
          <w:color w:val="000000"/>
          <w:sz w:val="24"/>
        </w:rPr>
      </w:pPr>
      <w:r>
        <w:rPr>
          <w:rFonts w:hint="eastAsia" w:ascii="宋体" w:hAnsi="宋体"/>
          <w:color w:val="000000"/>
          <w:sz w:val="24"/>
        </w:rPr>
        <w:t>9、如因采用不适当的油漆材料、低劣的施工工艺、或因在设备运输、储存或安装期间不妥当处理而引致任何设备的部件和配件产生锈蚀时，须无偿地更换所有受损的部件和配件。</w:t>
      </w:r>
    </w:p>
    <w:p>
      <w:pPr>
        <w:spacing w:line="360" w:lineRule="auto"/>
        <w:ind w:firstLine="480" w:firstLineChars="200"/>
        <w:rPr>
          <w:rFonts w:ascii="宋体" w:hAnsi="宋体"/>
          <w:color w:val="000000"/>
          <w:sz w:val="24"/>
        </w:rPr>
      </w:pPr>
      <w:r>
        <w:rPr>
          <w:rFonts w:hint="eastAsia" w:ascii="宋体" w:hAnsi="宋体"/>
          <w:color w:val="000000"/>
          <w:sz w:val="24"/>
        </w:rPr>
        <w:t>10、涂漆时须加倍小心，以防螺栓孔被油漆堵塞，如不慎发生时，则须小心处理。而在各螺栓牢固收紧后，所有的螺栓头、螺母及垫片须作彻底清理，而外露部分更需涂上防锈底油和面油。</w:t>
      </w:r>
    </w:p>
    <w:p>
      <w:pPr>
        <w:spacing w:line="360" w:lineRule="auto"/>
        <w:ind w:firstLine="480" w:firstLineChars="200"/>
        <w:rPr>
          <w:rFonts w:ascii="宋体" w:hAnsi="宋体"/>
          <w:color w:val="000000"/>
          <w:sz w:val="24"/>
        </w:rPr>
      </w:pPr>
      <w:r>
        <w:rPr>
          <w:rFonts w:hint="eastAsia" w:ascii="宋体" w:hAnsi="宋体"/>
          <w:color w:val="000000"/>
          <w:sz w:val="24"/>
        </w:rPr>
        <w:t>11、所有钢制预埋件，当局部埋在结构内时，必须在结构混凝土凝固及模板拆除后，对所有外露部分及其与结构接合处加以涂漆作保护。</w:t>
      </w:r>
    </w:p>
    <w:p>
      <w:pPr>
        <w:spacing w:line="360" w:lineRule="auto"/>
        <w:ind w:firstLine="480" w:firstLineChars="200"/>
        <w:rPr>
          <w:rFonts w:ascii="宋体" w:hAnsi="宋体"/>
          <w:sz w:val="24"/>
        </w:rPr>
      </w:pPr>
      <w:r>
        <w:rPr>
          <w:rFonts w:hint="eastAsia" w:ascii="宋体" w:hAnsi="宋体"/>
          <w:sz w:val="24"/>
        </w:rPr>
        <w:t>12、在涂漆施工期间，除了本身需覆盖保护的物件外，须对附近的其他物件也需加以保护性的覆盖以免受污染，并在有关工作结束后，须将被油漆弄污的地板、玻璃等物件清理妥当。</w:t>
      </w:r>
    </w:p>
    <w:p>
      <w:pPr>
        <w:spacing w:line="360" w:lineRule="auto"/>
        <w:ind w:firstLine="210" w:firstLineChars="100"/>
        <w:jc w:val="center"/>
        <w:rPr>
          <w:rFonts w:ascii="宋体" w:hAnsi="宋体"/>
        </w:rPr>
      </w:pPr>
    </w:p>
    <w:p>
      <w:pPr>
        <w:spacing w:line="360" w:lineRule="auto"/>
        <w:jc w:val="center"/>
        <w:textAlignment w:val="baseline"/>
        <w:outlineLvl w:val="1"/>
        <w:rPr>
          <w:rFonts w:hint="eastAsia" w:ascii="黑体" w:eastAsia="黑体"/>
          <w:b/>
          <w:sz w:val="32"/>
        </w:rPr>
      </w:pPr>
      <w:r>
        <w:rPr>
          <w:rFonts w:hint="eastAsia" w:ascii="黑体" w:eastAsia="黑体"/>
          <w:b/>
          <w:sz w:val="32"/>
        </w:rPr>
        <w:br w:type="page"/>
      </w:r>
    </w:p>
    <w:p>
      <w:pPr>
        <w:spacing w:line="360" w:lineRule="auto"/>
        <w:jc w:val="center"/>
        <w:textAlignment w:val="baseline"/>
        <w:outlineLvl w:val="1"/>
        <w:rPr>
          <w:rFonts w:ascii="黑体" w:eastAsia="黑体"/>
          <w:b/>
          <w:sz w:val="32"/>
        </w:rPr>
      </w:pPr>
      <w:r>
        <w:rPr>
          <w:rFonts w:hint="eastAsia" w:ascii="黑体" w:eastAsia="黑体"/>
          <w:b/>
          <w:sz w:val="32"/>
        </w:rPr>
        <w:t>第三章  给排水工程主要材料、设备技术要求</w:t>
      </w:r>
    </w:p>
    <w:p>
      <w:pPr>
        <w:widowControl/>
        <w:spacing w:line="360" w:lineRule="auto"/>
        <w:ind w:firstLine="424" w:firstLineChars="176"/>
        <w:jc w:val="center"/>
        <w:rPr>
          <w:rFonts w:ascii="仿宋_GB2312" w:hAnsi="宋体" w:eastAsia="仿宋_GB2312" w:cs="宋体"/>
          <w:b/>
          <w:kern w:val="0"/>
          <w:sz w:val="24"/>
          <w:szCs w:val="24"/>
        </w:rPr>
      </w:pPr>
    </w:p>
    <w:p>
      <w:pPr>
        <w:spacing w:line="300" w:lineRule="auto"/>
        <w:outlineLvl w:val="1"/>
        <w:rPr>
          <w:rFonts w:ascii="宋体" w:hAnsi="宋体" w:cs="Courier New"/>
          <w:b/>
          <w:kern w:val="0"/>
          <w:szCs w:val="21"/>
          <w:lang w:val="zh-CN"/>
        </w:rPr>
      </w:pPr>
      <w:bookmarkStart w:id="2" w:name="_Toc192871179"/>
      <w:bookmarkStart w:id="3" w:name="_Toc192873409"/>
      <w:r>
        <w:rPr>
          <w:rFonts w:hint="eastAsia" w:ascii="宋体" w:hAnsi="宋体" w:cs="Courier New"/>
          <w:b/>
          <w:kern w:val="0"/>
          <w:szCs w:val="21"/>
          <w:lang w:val="zh-CN"/>
        </w:rPr>
        <w:t>给排水工程所采用的材料、设备除满足设计要求外，还需满足以下技术要求。</w:t>
      </w:r>
      <w:bookmarkEnd w:id="2"/>
      <w:bookmarkEnd w:id="3"/>
    </w:p>
    <w:p>
      <w:pPr>
        <w:pStyle w:val="3"/>
        <w:rPr>
          <w:rFonts w:ascii="宋体" w:hAnsi="宋体"/>
        </w:rPr>
      </w:pPr>
      <w:bookmarkStart w:id="4" w:name="_Toc192873410"/>
      <w:r>
        <w:rPr>
          <w:rFonts w:hint="eastAsia" w:ascii="宋体" w:hAnsi="宋体"/>
        </w:rPr>
        <w:t>一、给排水系统材料、设备技术要求表</w:t>
      </w:r>
      <w:bookmarkEnd w:id="4"/>
    </w:p>
    <w:tbl>
      <w:tblPr>
        <w:tblStyle w:val="4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3"/>
        <w:gridCol w:w="966"/>
        <w:gridCol w:w="5926"/>
        <w:gridCol w:w="9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trPr>
        <w:tc>
          <w:tcPr>
            <w:tcW w:w="633" w:type="dxa"/>
            <w:vAlign w:val="center"/>
          </w:tcPr>
          <w:p>
            <w:pPr>
              <w:rPr>
                <w:rFonts w:ascii="宋体" w:hAnsi="宋体"/>
                <w:b/>
                <w:szCs w:val="21"/>
              </w:rPr>
            </w:pPr>
            <w:r>
              <w:rPr>
                <w:rFonts w:hint="eastAsia" w:ascii="宋体" w:hAnsi="宋体"/>
                <w:b/>
                <w:szCs w:val="21"/>
              </w:rPr>
              <w:t>序号</w:t>
            </w:r>
          </w:p>
        </w:tc>
        <w:tc>
          <w:tcPr>
            <w:tcW w:w="966" w:type="dxa"/>
            <w:vAlign w:val="center"/>
          </w:tcPr>
          <w:p>
            <w:pPr>
              <w:jc w:val="center"/>
              <w:rPr>
                <w:rFonts w:ascii="宋体" w:hAnsi="宋体"/>
                <w:b/>
                <w:szCs w:val="21"/>
              </w:rPr>
            </w:pPr>
            <w:r>
              <w:rPr>
                <w:rFonts w:hint="eastAsia" w:ascii="宋体" w:hAnsi="宋体"/>
                <w:b/>
                <w:szCs w:val="21"/>
              </w:rPr>
              <w:t>产品</w:t>
            </w:r>
          </w:p>
          <w:p>
            <w:pPr>
              <w:jc w:val="center"/>
              <w:rPr>
                <w:rFonts w:ascii="宋体" w:hAnsi="宋体"/>
                <w:b/>
                <w:szCs w:val="21"/>
              </w:rPr>
            </w:pPr>
            <w:r>
              <w:rPr>
                <w:rFonts w:hint="eastAsia" w:ascii="宋体" w:hAnsi="宋体"/>
                <w:b/>
                <w:szCs w:val="21"/>
              </w:rPr>
              <w:t>名称</w:t>
            </w:r>
          </w:p>
        </w:tc>
        <w:tc>
          <w:tcPr>
            <w:tcW w:w="5926" w:type="dxa"/>
            <w:vAlign w:val="center"/>
          </w:tcPr>
          <w:p>
            <w:pPr>
              <w:jc w:val="center"/>
              <w:rPr>
                <w:rFonts w:ascii="宋体" w:hAnsi="宋体"/>
                <w:szCs w:val="21"/>
              </w:rPr>
            </w:pPr>
            <w:r>
              <w:rPr>
                <w:rFonts w:hint="eastAsia" w:ascii="宋体" w:hAnsi="宋体"/>
                <w:b/>
                <w:szCs w:val="21"/>
              </w:rPr>
              <w:t>产品技术要求</w:t>
            </w:r>
          </w:p>
        </w:tc>
        <w:tc>
          <w:tcPr>
            <w:tcW w:w="997" w:type="dxa"/>
            <w:vAlign w:val="center"/>
          </w:tcPr>
          <w:p>
            <w:pPr>
              <w:jc w:val="center"/>
              <w:rPr>
                <w:rFonts w:ascii="宋体" w:hAnsi="宋体"/>
                <w:szCs w:val="21"/>
              </w:rPr>
            </w:pPr>
            <w:r>
              <w:rPr>
                <w:rFonts w:hint="eastAsia" w:ascii="宋体" w:hAnsi="宋体"/>
                <w:b/>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numPr>
                <w:ilvl w:val="0"/>
                <w:numId w:val="22"/>
              </w:numPr>
              <w:tabs>
                <w:tab w:val="left" w:pos="420"/>
                <w:tab w:val="clear" w:pos="600"/>
              </w:tabs>
              <w:ind w:left="420"/>
              <w:rPr>
                <w:rFonts w:ascii="宋体" w:hAnsi="宋体"/>
                <w:szCs w:val="21"/>
              </w:rPr>
            </w:pPr>
          </w:p>
        </w:tc>
        <w:tc>
          <w:tcPr>
            <w:tcW w:w="966" w:type="dxa"/>
          </w:tcPr>
          <w:p>
            <w:pPr>
              <w:spacing w:line="300" w:lineRule="auto"/>
              <w:jc w:val="center"/>
            </w:pPr>
            <w:r>
              <w:rPr>
                <w:rFonts w:hint="eastAsia"/>
              </w:rPr>
              <w:t>衬塑钢塑复合管</w:t>
            </w:r>
          </w:p>
        </w:tc>
        <w:tc>
          <w:tcPr>
            <w:tcW w:w="5926" w:type="dxa"/>
            <w:vAlign w:val="center"/>
          </w:tcPr>
          <w:p>
            <w:pPr>
              <w:rPr>
                <w:rFonts w:ascii="宋体" w:hAnsi="宋体"/>
              </w:rPr>
            </w:pPr>
            <w:r>
              <w:rPr>
                <w:rFonts w:hint="eastAsia" w:hAnsi="宋体"/>
                <w:b/>
              </w:rPr>
              <w:t>一、</w:t>
            </w:r>
            <w:r>
              <w:rPr>
                <w:rFonts w:hint="eastAsia" w:ascii="宋体" w:hAnsi="宋体"/>
              </w:rPr>
              <w:t>商务要求：</w:t>
            </w:r>
          </w:p>
          <w:p>
            <w:pPr>
              <w:rPr>
                <w:rFonts w:ascii="宋体" w:hAnsi="宋体"/>
              </w:rPr>
            </w:pPr>
            <w:r>
              <w:rPr>
                <w:rFonts w:hint="eastAsia" w:ascii="宋体" w:hAnsi="宋体"/>
              </w:rPr>
              <w:t>1）制造商注册资本：不少于2000万人民币。</w:t>
            </w:r>
          </w:p>
          <w:p>
            <w:pPr>
              <w:rPr>
                <w:rFonts w:ascii="宋体" w:hAnsi="宋体"/>
              </w:rPr>
            </w:pPr>
            <w:r>
              <w:rPr>
                <w:rFonts w:hint="eastAsia" w:ascii="宋体" w:hAnsi="宋体"/>
              </w:rPr>
              <w:t>2）制造商应通过ISO9001：2000质量管理体系认证。</w:t>
            </w:r>
          </w:p>
          <w:p>
            <w:pPr>
              <w:jc w:val="left"/>
              <w:rPr>
                <w:rFonts w:ascii="宋体" w:hAnsi="宋体"/>
              </w:rPr>
            </w:pPr>
            <w:r>
              <w:rPr>
                <w:rFonts w:hint="eastAsia" w:ascii="宋体" w:hAnsi="宋体"/>
              </w:rPr>
              <w:t>3）产品应为省级以上名牌产品，或省级以上著名商标，或国家免检产品。</w:t>
            </w:r>
          </w:p>
          <w:p>
            <w:pPr>
              <w:jc w:val="left"/>
              <w:rPr>
                <w:rFonts w:ascii="宋体" w:hAnsi="宋体"/>
              </w:rPr>
            </w:pPr>
            <w:r>
              <w:rPr>
                <w:rFonts w:hint="eastAsia" w:ascii="宋体" w:hAnsi="宋体"/>
              </w:rPr>
              <w:t>4）制造商在深圳地区设有完善的售后服务机构。</w:t>
            </w:r>
          </w:p>
          <w:p>
            <w:pPr>
              <w:jc w:val="left"/>
              <w:rPr>
                <w:rFonts w:ascii="宋体" w:hAnsi="宋体"/>
              </w:rPr>
            </w:pPr>
          </w:p>
          <w:p>
            <w:pPr>
              <w:rPr>
                <w:rFonts w:ascii="宋体" w:hAnsi="宋体"/>
              </w:rPr>
            </w:pPr>
            <w:r>
              <w:rPr>
                <w:rFonts w:hint="eastAsia" w:ascii="宋体" w:hAnsi="宋体"/>
              </w:rPr>
              <w:t>二、技术要求：</w:t>
            </w:r>
          </w:p>
          <w:p>
            <w:pPr>
              <w:rPr>
                <w:rFonts w:ascii="宋体" w:hAnsi="宋体"/>
              </w:rPr>
            </w:pPr>
            <w:r>
              <w:rPr>
                <w:rFonts w:hint="eastAsia" w:ascii="宋体" w:hAnsi="宋体"/>
              </w:rPr>
              <w:t>1）管材应符合</w:t>
            </w:r>
            <w:r>
              <w:rPr>
                <w:rStyle w:val="246"/>
              </w:rPr>
              <w:t>CJ/T136-2007</w:t>
            </w:r>
            <w:r>
              <w:rPr>
                <w:rFonts w:hint="eastAsia"/>
              </w:rPr>
              <w:t>《</w:t>
            </w:r>
            <w:r>
              <w:rPr>
                <w:rStyle w:val="246"/>
              </w:rPr>
              <w:t>给水衬塑复合钢管</w:t>
            </w:r>
            <w:r>
              <w:rPr>
                <w:rFonts w:hint="eastAsia"/>
              </w:rPr>
              <w:t>》的</w:t>
            </w:r>
            <w:r>
              <w:rPr>
                <w:rFonts w:hint="eastAsia" w:ascii="宋体" w:hAnsi="宋体"/>
              </w:rPr>
              <w:t>要求。</w:t>
            </w:r>
          </w:p>
          <w:p>
            <w:r>
              <w:rPr>
                <w:rFonts w:hint="eastAsia" w:ascii="宋体" w:hAnsi="宋体"/>
              </w:rPr>
              <w:t>2）管材的压力等级应</w:t>
            </w:r>
            <w:r>
              <w:rPr>
                <w:rFonts w:ascii="宋体" w:hAnsi="宋体"/>
              </w:rPr>
              <w:t>符合设计要求</w:t>
            </w:r>
            <w:r>
              <w:rPr>
                <w:rFonts w:hint="eastAsia" w:ascii="宋体" w:hAnsi="宋体"/>
              </w:rPr>
              <w:t>。</w:t>
            </w:r>
          </w:p>
          <w:p>
            <w:r>
              <w:rPr>
                <w:rFonts w:hint="eastAsia"/>
              </w:rPr>
              <w:t xml:space="preserve">3）产品应具有省级以上卫生防疫部门颁发的“卫生许可证”。 </w:t>
            </w:r>
          </w:p>
          <w:p>
            <w:pPr>
              <w:rPr>
                <w:rFonts w:ascii="宋体" w:hAnsi="宋体"/>
              </w:rPr>
            </w:pPr>
            <w:r>
              <w:rPr>
                <w:rFonts w:hint="eastAsia"/>
              </w:rPr>
              <w:t>4）被衬塑的钢管应符合</w:t>
            </w:r>
            <w:r>
              <w:rPr>
                <w:rFonts w:hint="eastAsia" w:ascii="宋体" w:hAnsi="宋体"/>
              </w:rPr>
              <w:t>GB/T3091—2008《低压流体输送用镀锌焊接钢管》的要求，并应符合其对镀锌层的要求。</w:t>
            </w:r>
          </w:p>
          <w:p>
            <w:pPr>
              <w:rPr>
                <w:rStyle w:val="246"/>
              </w:rPr>
            </w:pPr>
            <w:r>
              <w:rPr>
                <w:rFonts w:hint="eastAsia" w:ascii="宋体" w:hAnsi="宋体"/>
              </w:rPr>
              <w:t>5)</w:t>
            </w:r>
            <w:r>
              <w:rPr>
                <w:rStyle w:val="246"/>
              </w:rPr>
              <w:t xml:space="preserve"> </w:t>
            </w:r>
            <w:r>
              <w:rPr>
                <w:rStyle w:val="246"/>
                <w:rFonts w:hint="eastAsia"/>
              </w:rPr>
              <w:t>冷水用衬塑钢管的内</w:t>
            </w:r>
            <w:r>
              <w:rPr>
                <w:rStyle w:val="246"/>
              </w:rPr>
              <w:t>衬塑</w:t>
            </w:r>
            <w:r>
              <w:rPr>
                <w:rStyle w:val="246"/>
                <w:rFonts w:hint="eastAsia"/>
              </w:rPr>
              <w:t>材料可选用PE、PPR等，并应符合相关国家或行业标准对塑料的要求。</w:t>
            </w:r>
          </w:p>
          <w:p>
            <w:pPr>
              <w:rPr>
                <w:rStyle w:val="246"/>
              </w:rPr>
            </w:pPr>
            <w:r>
              <w:rPr>
                <w:rStyle w:val="246"/>
                <w:rFonts w:hint="eastAsia"/>
              </w:rPr>
              <w:t>6）热水用衬塑钢管的内</w:t>
            </w:r>
            <w:r>
              <w:rPr>
                <w:rStyle w:val="246"/>
              </w:rPr>
              <w:t>衬塑</w:t>
            </w:r>
            <w:r>
              <w:rPr>
                <w:rStyle w:val="246"/>
                <w:rFonts w:hint="eastAsia"/>
              </w:rPr>
              <w:t>材料可选用PPR、PE-X等，并应符合相关国家或行业标准对塑料的要求。</w:t>
            </w:r>
          </w:p>
          <w:p>
            <w:pPr>
              <w:rPr>
                <w:szCs w:val="21"/>
              </w:rPr>
            </w:pPr>
            <w:r>
              <w:rPr>
                <w:rStyle w:val="246"/>
                <w:rFonts w:hint="eastAsia"/>
              </w:rPr>
              <w:t>7）用于输送热水的衬塑钢管应进行耐冷热循环性能检测，并应符合相关标准要求。</w:t>
            </w:r>
          </w:p>
          <w:p>
            <w:pPr>
              <w:ind w:left="216" w:leftChars="3" w:hanging="210" w:hangingChars="100"/>
              <w:rPr>
                <w:rFonts w:ascii="宋体" w:hAnsi="宋体"/>
              </w:rPr>
            </w:pPr>
            <w:r>
              <w:rPr>
                <w:rFonts w:hint="eastAsia" w:ascii="宋体" w:hAnsi="宋体"/>
              </w:rPr>
              <w:t>8）连接方式：</w:t>
            </w:r>
          </w:p>
          <w:p>
            <w:pPr>
              <w:ind w:firstLine="420" w:firstLineChars="200"/>
              <w:rPr>
                <w:rFonts w:ascii="宋体" w:hAnsi="宋体"/>
              </w:rPr>
            </w:pPr>
            <w:r>
              <w:rPr>
                <w:rFonts w:ascii="宋体" w:hAnsi="宋体"/>
              </w:rPr>
              <w:t>①</w:t>
            </w:r>
            <w:r>
              <w:rPr>
                <w:rFonts w:hint="eastAsia" w:ascii="宋体" w:hAnsi="宋体"/>
              </w:rPr>
              <w:t xml:space="preserve"> 管径&lt;DN100采用螺纹连接，</w:t>
            </w:r>
          </w:p>
          <w:p>
            <w:pPr>
              <w:ind w:firstLine="420" w:firstLineChars="200"/>
              <w:rPr>
                <w:rFonts w:ascii="宋体" w:hAnsi="宋体"/>
              </w:rPr>
            </w:pPr>
            <w:r>
              <w:rPr>
                <w:rFonts w:hint="eastAsia" w:ascii="宋体" w:hAnsi="宋体"/>
              </w:rPr>
              <w:t>② 管径≥DN100采用卡箍连接。</w:t>
            </w:r>
          </w:p>
          <w:p>
            <w:pPr>
              <w:rPr>
                <w:rFonts w:ascii="宋体" w:hAnsi="宋体"/>
              </w:rPr>
            </w:pPr>
            <w:r>
              <w:rPr>
                <w:rFonts w:hint="eastAsia" w:ascii="宋体" w:hAnsi="宋体"/>
              </w:rPr>
              <w:t>9）应由管材供应商配套提供管材、管件，专用机具和辅料，</w:t>
            </w:r>
            <w:r>
              <w:rPr>
                <w:rFonts w:ascii="宋体" w:hAnsi="宋体"/>
              </w:rPr>
              <w:t>并</w:t>
            </w:r>
            <w:r>
              <w:rPr>
                <w:rFonts w:hint="eastAsia" w:ascii="宋体" w:hAnsi="宋体"/>
              </w:rPr>
              <w:t>遵照有关</w:t>
            </w:r>
            <w:r>
              <w:rPr>
                <w:rFonts w:ascii="宋体" w:hAnsi="宋体"/>
              </w:rPr>
              <w:t>标准进行施工连接。</w:t>
            </w:r>
          </w:p>
          <w:p>
            <w:pPr>
              <w:rPr>
                <w:rFonts w:ascii="宋体" w:hAnsi="宋体"/>
              </w:rPr>
            </w:pPr>
          </w:p>
        </w:tc>
        <w:tc>
          <w:tcPr>
            <w:tcW w:w="997" w:type="dxa"/>
            <w:vAlign w:val="center"/>
          </w:tcPr>
          <w:p>
            <w:pPr>
              <w:widowControl/>
              <w:wordWrap w:val="0"/>
              <w:adjustRightInd w:val="0"/>
              <w:snapToGrid w:val="0"/>
              <w:rPr>
                <w:rFonts w:ascii="仿宋_GB2312" w:hAnsi="Times New Roman'" w:eastAsia="仿宋_GB2312" w:cs="Times New Roman'"/>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w:t>
            </w:r>
          </w:p>
        </w:tc>
        <w:tc>
          <w:tcPr>
            <w:tcW w:w="966" w:type="dxa"/>
          </w:tcPr>
          <w:p>
            <w:pPr>
              <w:spacing w:line="300" w:lineRule="auto"/>
            </w:pPr>
            <w:r>
              <w:rPr>
                <w:rFonts w:hint="eastAsia" w:ascii="宋体" w:hAnsi="宋体"/>
              </w:rPr>
              <w:t>薄壁不锈钢管及管件</w:t>
            </w:r>
          </w:p>
        </w:tc>
        <w:tc>
          <w:tcPr>
            <w:tcW w:w="5926" w:type="dxa"/>
            <w:vAlign w:val="center"/>
          </w:tcPr>
          <w:p>
            <w:r>
              <w:rPr>
                <w:rFonts w:hint="eastAsia"/>
              </w:rPr>
              <w:t>一、商务要求：</w:t>
            </w:r>
          </w:p>
          <w:p>
            <w:r>
              <w:rPr>
                <w:rFonts w:hint="eastAsia"/>
              </w:rPr>
              <w:t>1）营业执照所示营业范围应符合要求。</w:t>
            </w:r>
          </w:p>
          <w:p>
            <w:r>
              <w:rPr>
                <w:rFonts w:hint="eastAsia"/>
              </w:rPr>
              <w:t>2）制造商应通过ISO9001：2000质量管理体系认证。</w:t>
            </w:r>
          </w:p>
          <w:p>
            <w:pPr>
              <w:pStyle w:val="64"/>
              <w:ind w:firstLine="0" w:firstLineChars="0"/>
            </w:pPr>
            <w:r>
              <w:rPr>
                <w:rFonts w:hint="eastAsia"/>
              </w:rPr>
              <w:t>3）制造商注册资本：不少于1000万人民币。</w:t>
            </w:r>
          </w:p>
          <w:p>
            <w:pPr>
              <w:spacing w:line="276" w:lineRule="auto"/>
              <w:rPr>
                <w:rFonts w:ascii="宋体" w:hAnsi="宋体"/>
              </w:rPr>
            </w:pPr>
            <w:r>
              <w:rPr>
                <w:rFonts w:hint="eastAsia" w:ascii="宋体" w:hAnsi="宋体"/>
              </w:rPr>
              <w:t>4）制造商在深圳地区设有完善的售后服务机构。</w:t>
            </w:r>
          </w:p>
          <w:p>
            <w:r>
              <w:rPr>
                <w:rFonts w:hint="eastAsia"/>
              </w:rPr>
              <w:t>二、技术要求：</w:t>
            </w:r>
          </w:p>
          <w:p>
            <w:r>
              <w:rPr>
                <w:rFonts w:hint="eastAsia"/>
              </w:rPr>
              <w:t>1）</w:t>
            </w:r>
            <w:r>
              <w:rPr>
                <w:rFonts w:hint="eastAsia" w:ascii="宋体" w:hAnsi="宋体"/>
              </w:rPr>
              <w:t>管材规格、压力等级、加工质量等，</w:t>
            </w:r>
            <w:r>
              <w:rPr>
                <w:rFonts w:hint="eastAsia"/>
              </w:rPr>
              <w:t>应符合</w:t>
            </w:r>
            <w:r>
              <w:t>GB</w:t>
            </w:r>
            <w:r>
              <w:rPr>
                <w:rFonts w:hint="eastAsia"/>
              </w:rPr>
              <w:t>/</w:t>
            </w:r>
            <w:r>
              <w:t>T19228-2011</w:t>
            </w:r>
            <w:r>
              <w:rPr>
                <w:rFonts w:hint="eastAsia"/>
              </w:rPr>
              <w:t>国家标准，并应符合设计要求。</w:t>
            </w:r>
          </w:p>
          <w:p>
            <w:r>
              <w:rPr>
                <w:rFonts w:hint="eastAsia"/>
              </w:rPr>
              <w:t>2）管材及管件材质最低要求为</w:t>
            </w:r>
            <w:r>
              <w:rPr>
                <w:rFonts w:hint="eastAsia" w:ascii="宋体" w:hAnsi="宋体"/>
                <w:szCs w:val="21"/>
              </w:rPr>
              <w:t>SUS304</w:t>
            </w:r>
            <w:r>
              <w:rPr>
                <w:rFonts w:hint="eastAsia"/>
              </w:rPr>
              <w:t>。</w:t>
            </w:r>
          </w:p>
          <w:p>
            <w:r>
              <w:rPr>
                <w:rFonts w:hint="eastAsia"/>
              </w:rPr>
              <w:t>3）产品应具有省级以上卫生防疫部门颁发的“卫生许可证”。</w:t>
            </w:r>
          </w:p>
          <w:p>
            <w:r>
              <w:rPr>
                <w:rFonts w:hint="eastAsia"/>
              </w:rPr>
              <w:t>4）管道壁厚应符合国家标准要求。</w:t>
            </w:r>
          </w:p>
          <w:p>
            <w:pPr>
              <w:rPr>
                <w:rFonts w:ascii="宋体" w:hAnsi="宋体"/>
              </w:rPr>
            </w:pPr>
            <w:r>
              <w:rPr>
                <w:rFonts w:hint="eastAsia"/>
              </w:rPr>
              <w:t>5）</w:t>
            </w:r>
            <w:r>
              <w:rPr>
                <w:rFonts w:hint="eastAsia" w:ascii="宋体" w:hAnsi="宋体"/>
              </w:rPr>
              <w:t>采用卡压连接。暗装管道采用外覆塑薄壁不锈钢管，埋地管须按设计要求采取防腐措施。</w:t>
            </w:r>
          </w:p>
          <w:p>
            <w:pPr>
              <w:numPr>
                <w:ilvl w:val="0"/>
                <w:numId w:val="23"/>
              </w:numPr>
              <w:tabs>
                <w:tab w:val="left" w:pos="360"/>
              </w:tabs>
              <w:ind w:left="360" w:hanging="360"/>
              <w:rPr>
                <w:rFonts w:ascii="宋体" w:hAnsi="宋体"/>
              </w:rPr>
            </w:pPr>
            <w:r>
              <w:rPr>
                <w:rFonts w:hint="eastAsia" w:ascii="宋体" w:hAnsi="宋体"/>
              </w:rPr>
              <w:t>管材、管件应为同一品牌产品。</w:t>
            </w:r>
          </w:p>
          <w:p>
            <w:r>
              <w:rPr>
                <w:rFonts w:hint="eastAsia"/>
              </w:rPr>
              <w:t>7）管卡为原厂配套不锈钢管卡或包胶管卡。</w:t>
            </w:r>
          </w:p>
          <w:p>
            <w:pPr>
              <w:rPr>
                <w:rFonts w:hAnsi="宋体"/>
                <w:b/>
              </w:rPr>
            </w:pPr>
          </w:p>
        </w:tc>
        <w:tc>
          <w:tcPr>
            <w:tcW w:w="997" w:type="dxa"/>
            <w:vAlign w:val="center"/>
          </w:tcPr>
          <w:p>
            <w:pPr>
              <w:widowControl/>
              <w:wordWrap w:val="0"/>
              <w:adjustRightInd w:val="0"/>
              <w:snapToGrid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3.</w:t>
            </w:r>
          </w:p>
        </w:tc>
        <w:tc>
          <w:tcPr>
            <w:tcW w:w="966" w:type="dxa"/>
          </w:tcPr>
          <w:p>
            <w:pPr>
              <w:spacing w:line="300" w:lineRule="auto"/>
              <w:jc w:val="center"/>
              <w:rPr>
                <w:rFonts w:ascii="宋体" w:hAnsi="宋体"/>
              </w:rPr>
            </w:pPr>
            <w:r>
              <w:rPr>
                <w:rFonts w:hint="eastAsia" w:ascii="宋体" w:hAnsi="宋体"/>
              </w:rPr>
              <w:t>PPR塑料管</w:t>
            </w:r>
          </w:p>
        </w:tc>
        <w:tc>
          <w:tcPr>
            <w:tcW w:w="5926" w:type="dxa"/>
            <w:vAlign w:val="center"/>
          </w:tcPr>
          <w:p>
            <w:pPr>
              <w:rPr>
                <w:rFonts w:ascii="宋体" w:hAnsi="宋体"/>
              </w:rPr>
            </w:pPr>
            <w:r>
              <w:rPr>
                <w:rFonts w:hint="eastAsia" w:ascii="宋体" w:hAnsi="宋体"/>
              </w:rPr>
              <w:t>一、商务要求：</w:t>
            </w:r>
          </w:p>
          <w:p>
            <w:pPr>
              <w:numPr>
                <w:ilvl w:val="0"/>
                <w:numId w:val="24"/>
              </w:numPr>
              <w:rPr>
                <w:rFonts w:ascii="宋体" w:hAnsi="宋体"/>
              </w:rPr>
            </w:pPr>
            <w:r>
              <w:rPr>
                <w:rFonts w:ascii="宋体" w:hAnsi="宋体"/>
              </w:rPr>
              <w:t>营业执照所示营业范围应符合要求</w:t>
            </w:r>
            <w:r>
              <w:rPr>
                <w:rFonts w:hint="eastAsia" w:ascii="宋体" w:hAnsi="宋体"/>
              </w:rPr>
              <w:t>。</w:t>
            </w:r>
          </w:p>
          <w:p>
            <w:pPr>
              <w:numPr>
                <w:ilvl w:val="0"/>
                <w:numId w:val="24"/>
              </w:numPr>
              <w:rPr>
                <w:rFonts w:ascii="宋体" w:hAnsi="宋体"/>
                <w:szCs w:val="21"/>
              </w:rPr>
            </w:pPr>
            <w:r>
              <w:rPr>
                <w:rFonts w:hint="eastAsia" w:ascii="宋体" w:hAnsi="宋体"/>
              </w:rPr>
              <w:t>制造商应通过ISO9001：2000质量管理体系认证及ISO14001：1996 环境管理体系认证。并</w:t>
            </w:r>
            <w:r>
              <w:rPr>
                <w:rFonts w:hint="eastAsia" w:ascii="宋体" w:hAnsi="宋体"/>
                <w:szCs w:val="21"/>
              </w:rPr>
              <w:t>须提供国家化学建筑材料测试中心出具的检测报告证明。</w:t>
            </w:r>
          </w:p>
          <w:p>
            <w:pPr>
              <w:numPr>
                <w:ilvl w:val="0"/>
                <w:numId w:val="24"/>
              </w:numPr>
              <w:rPr>
                <w:rFonts w:ascii="宋体" w:hAnsi="宋体"/>
              </w:rPr>
            </w:pPr>
            <w:r>
              <w:rPr>
                <w:rFonts w:hint="eastAsia" w:ascii="宋体" w:hAnsi="宋体"/>
              </w:rPr>
              <w:t>制造商注册资本：不少于2000万人民币。</w:t>
            </w:r>
          </w:p>
          <w:p>
            <w:pPr>
              <w:numPr>
                <w:ilvl w:val="0"/>
                <w:numId w:val="24"/>
              </w:numPr>
              <w:rPr>
                <w:rFonts w:ascii="宋体" w:hAnsi="宋体"/>
              </w:rPr>
            </w:pPr>
            <w:r>
              <w:rPr>
                <w:rFonts w:hint="eastAsia" w:ascii="宋体" w:hAnsi="宋体"/>
              </w:rPr>
              <w:t>制造商在深圳地区设有完善的售后服务机构。</w:t>
            </w:r>
          </w:p>
          <w:p>
            <w:pPr>
              <w:ind w:left="420"/>
              <w:rPr>
                <w:rFonts w:ascii="宋体" w:hAnsi="宋体"/>
              </w:rPr>
            </w:pPr>
          </w:p>
          <w:p>
            <w:pPr>
              <w:rPr>
                <w:rFonts w:ascii="宋体" w:hAnsi="宋体"/>
              </w:rPr>
            </w:pPr>
            <w:r>
              <w:rPr>
                <w:rFonts w:hint="eastAsia" w:ascii="宋体" w:hAnsi="宋体"/>
              </w:rPr>
              <w:t>二、技术要求：</w:t>
            </w:r>
          </w:p>
          <w:p>
            <w:pPr>
              <w:ind w:left="420" w:hanging="420" w:hangingChars="200"/>
              <w:jc w:val="left"/>
              <w:rPr>
                <w:rFonts w:ascii="宋体" w:hAnsi="宋体"/>
              </w:rPr>
            </w:pPr>
            <w:r>
              <w:rPr>
                <w:rFonts w:hint="eastAsia" w:ascii="宋体" w:hAnsi="宋体"/>
              </w:rPr>
              <w:t>1） 冷热水管材管件的规格、压力等级、加工质量等，应符合现行的国家或行业生产技术标准，</w:t>
            </w:r>
            <w:r>
              <w:rPr>
                <w:rFonts w:hint="eastAsia" w:ascii="宋体" w:hAnsi="宋体" w:cs="宋体"/>
              </w:rPr>
              <w:t>同时满足饮用水管GB/T 17219标准要求，并应</w:t>
            </w:r>
            <w:r>
              <w:rPr>
                <w:rFonts w:ascii="宋体" w:hAnsi="宋体"/>
              </w:rPr>
              <w:t>符合设计要求</w:t>
            </w:r>
            <w:r>
              <w:rPr>
                <w:rFonts w:hint="eastAsia" w:ascii="宋体" w:hAnsi="宋体"/>
              </w:rPr>
              <w:t>。</w:t>
            </w:r>
          </w:p>
          <w:p>
            <w:pPr>
              <w:ind w:left="315" w:hanging="315" w:hangingChars="150"/>
              <w:rPr>
                <w:rFonts w:ascii="宋体" w:hAnsi="宋体"/>
              </w:rPr>
            </w:pPr>
            <w:r>
              <w:rPr>
                <w:rFonts w:hint="eastAsia" w:ascii="宋体" w:hAnsi="宋体"/>
              </w:rPr>
              <w:t>2）</w:t>
            </w:r>
            <w:r>
              <w:rPr>
                <w:rFonts w:hint="eastAsia" w:ascii="宋体" w:hAnsi="宋体" w:cs="宋体"/>
              </w:rPr>
              <w:t>须是绿色环保产品，卫生、无毒，</w:t>
            </w:r>
            <w:r>
              <w:rPr>
                <w:rFonts w:hint="eastAsia" w:ascii="宋体" w:hAnsi="宋体"/>
              </w:rPr>
              <w:t>产品应具有省级以上卫生防疫部门颁发的“卫生许可证”。</w:t>
            </w:r>
          </w:p>
          <w:p>
            <w:pPr>
              <w:rPr>
                <w:rFonts w:ascii="宋体" w:hAnsi="宋体"/>
              </w:rPr>
            </w:pPr>
            <w:r>
              <w:rPr>
                <w:rFonts w:hint="eastAsia" w:ascii="宋体" w:hAnsi="宋体"/>
              </w:rPr>
              <w:t>3） 应符合</w:t>
            </w:r>
            <w:r>
              <w:rPr>
                <w:rFonts w:ascii="宋体" w:hAnsi="宋体"/>
              </w:rPr>
              <w:t>GB/T18742-1～3-2002《冷热水用聚丙烯管道系统》</w:t>
            </w:r>
            <w:r>
              <w:rPr>
                <w:rFonts w:hint="eastAsia" w:ascii="宋体" w:hAnsi="宋体"/>
              </w:rPr>
              <w:t>标准。</w:t>
            </w:r>
          </w:p>
          <w:p>
            <w:pPr>
              <w:rPr>
                <w:rFonts w:ascii="宋体" w:hAnsi="宋体"/>
              </w:rPr>
            </w:pPr>
            <w:r>
              <w:rPr>
                <w:rFonts w:hint="eastAsia" w:ascii="宋体" w:hAnsi="宋体"/>
              </w:rPr>
              <w:t>4）</w:t>
            </w:r>
            <w:r>
              <w:rPr>
                <w:rFonts w:hint="eastAsia"/>
              </w:rPr>
              <w:t>管材和管件的内外表面应光滑平整，壁厚均匀，无划痕，外壁颜色均匀，管材外壁应标注供应厂名称，产品型号，尺寸，生产日期，原材料型号，产品标准等。管材端口整齐，且端面应垂直于管材的轴线。</w:t>
            </w:r>
          </w:p>
          <w:p>
            <w:pPr>
              <w:rPr>
                <w:rFonts w:ascii="宋体" w:hAnsi="宋体"/>
              </w:rPr>
            </w:pPr>
            <w:r>
              <w:rPr>
                <w:rFonts w:hint="eastAsia" w:ascii="宋体" w:hAnsi="宋体"/>
              </w:rPr>
              <w:t>5）</w:t>
            </w:r>
            <w:r>
              <w:rPr>
                <w:rFonts w:hint="eastAsia"/>
              </w:rPr>
              <w:t>不允许使用再生料。</w:t>
            </w:r>
          </w:p>
          <w:p>
            <w:pPr>
              <w:rPr>
                <w:rFonts w:ascii="宋体" w:hAnsi="宋体"/>
              </w:rPr>
            </w:pPr>
            <w:r>
              <w:rPr>
                <w:rFonts w:hint="eastAsia" w:ascii="宋体" w:hAnsi="宋体"/>
              </w:rPr>
              <w:t>6）连接方式为热熔连接。</w:t>
            </w:r>
          </w:p>
          <w:p>
            <w:pPr>
              <w:rPr>
                <w:rFonts w:ascii="宋体" w:hAnsi="宋体"/>
              </w:rPr>
            </w:pPr>
            <w:r>
              <w:rPr>
                <w:rFonts w:hint="eastAsia" w:ascii="宋体" w:hAnsi="宋体"/>
              </w:rPr>
              <w:t>7）应由管材供应商配套提供管材、管件，专用机具和辅料。</w:t>
            </w:r>
          </w:p>
          <w:p>
            <w:pPr>
              <w:jc w:val="left"/>
              <w:rPr>
                <w:rFonts w:ascii="宋体" w:hAnsi="宋体"/>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4.</w:t>
            </w:r>
          </w:p>
        </w:tc>
        <w:tc>
          <w:tcPr>
            <w:tcW w:w="966" w:type="dxa"/>
          </w:tcPr>
          <w:p>
            <w:pPr>
              <w:spacing w:line="300" w:lineRule="auto"/>
              <w:jc w:val="left"/>
            </w:pPr>
            <w:r>
              <w:rPr>
                <w:rFonts w:hint="eastAsia" w:ascii="宋体" w:hAnsi="宋体"/>
              </w:rPr>
              <w:t>HDPE给水管</w:t>
            </w:r>
          </w:p>
        </w:tc>
        <w:tc>
          <w:tcPr>
            <w:tcW w:w="5926" w:type="dxa"/>
            <w:vAlign w:val="center"/>
          </w:tcPr>
          <w:p>
            <w:pPr>
              <w:rPr>
                <w:rFonts w:ascii="宋体" w:hAnsi="宋体"/>
                <w:szCs w:val="21"/>
              </w:rPr>
            </w:pPr>
            <w:r>
              <w:rPr>
                <w:rFonts w:hint="eastAsia" w:ascii="宋体" w:hAnsi="宋体"/>
                <w:szCs w:val="21"/>
              </w:rPr>
              <w:t>一、商务要求：</w:t>
            </w:r>
          </w:p>
          <w:p>
            <w:pPr>
              <w:numPr>
                <w:ilvl w:val="0"/>
                <w:numId w:val="25"/>
              </w:numPr>
              <w:rPr>
                <w:rFonts w:ascii="宋体" w:hAnsi="宋体"/>
                <w:szCs w:val="21"/>
              </w:rPr>
            </w:pPr>
            <w:r>
              <w:rPr>
                <w:rFonts w:ascii="宋体" w:hAnsi="宋体"/>
              </w:rPr>
              <w:t>营业执照所示营业范围应符合要求</w:t>
            </w:r>
            <w:r>
              <w:rPr>
                <w:rFonts w:hint="eastAsia" w:ascii="宋体" w:hAnsi="宋体"/>
              </w:rPr>
              <w:t>。</w:t>
            </w:r>
          </w:p>
          <w:p>
            <w:pPr>
              <w:numPr>
                <w:ilvl w:val="0"/>
                <w:numId w:val="25"/>
              </w:numPr>
              <w:rPr>
                <w:rFonts w:ascii="宋体" w:hAnsi="宋体"/>
                <w:szCs w:val="21"/>
              </w:rPr>
            </w:pPr>
            <w:r>
              <w:rPr>
                <w:rFonts w:hint="eastAsia" w:ascii="宋体" w:hAnsi="宋体"/>
                <w:szCs w:val="21"/>
              </w:rPr>
              <w:t>制造商要求通过</w:t>
            </w:r>
            <w:r>
              <w:rPr>
                <w:rFonts w:ascii="宋体" w:hAnsi="宋体"/>
                <w:szCs w:val="21"/>
              </w:rPr>
              <w:t>ISO9001</w:t>
            </w:r>
            <w:r>
              <w:rPr>
                <w:rFonts w:hint="eastAsia" w:ascii="宋体" w:hAnsi="宋体"/>
                <w:szCs w:val="21"/>
              </w:rPr>
              <w:t>：</w:t>
            </w:r>
            <w:r>
              <w:rPr>
                <w:rFonts w:ascii="宋体" w:hAnsi="宋体"/>
                <w:szCs w:val="21"/>
              </w:rPr>
              <w:t>2000</w:t>
            </w:r>
            <w:r>
              <w:rPr>
                <w:rFonts w:hint="eastAsia" w:ascii="宋体" w:hAnsi="宋体"/>
                <w:szCs w:val="21"/>
              </w:rPr>
              <w:t>质量体系认证。并须提供国家化学建筑材料测试中心出具的检测报告证明。</w:t>
            </w:r>
          </w:p>
          <w:p>
            <w:pPr>
              <w:numPr>
                <w:ilvl w:val="0"/>
                <w:numId w:val="25"/>
              </w:numPr>
              <w:rPr>
                <w:rFonts w:ascii="宋体" w:hAnsi="宋体"/>
                <w:szCs w:val="21"/>
              </w:rPr>
            </w:pPr>
            <w:r>
              <w:rPr>
                <w:rFonts w:hint="eastAsia" w:ascii="宋体" w:hAnsi="宋体"/>
                <w:szCs w:val="21"/>
              </w:rPr>
              <w:t>制造商注册资本不少于2000万元人民币。</w:t>
            </w:r>
          </w:p>
          <w:p>
            <w:pPr>
              <w:numPr>
                <w:ilvl w:val="0"/>
                <w:numId w:val="25"/>
              </w:numPr>
              <w:rPr>
                <w:rFonts w:ascii="宋体" w:hAnsi="宋体"/>
              </w:rPr>
            </w:pPr>
            <w:r>
              <w:rPr>
                <w:rFonts w:hint="eastAsia" w:ascii="宋体" w:hAnsi="宋体"/>
              </w:rPr>
              <w:t>制造商在深圳地区设有完善的售后服务机构。</w:t>
            </w:r>
          </w:p>
          <w:p>
            <w:pPr>
              <w:rPr>
                <w:rFonts w:ascii="宋体" w:hAnsi="宋体"/>
                <w:szCs w:val="21"/>
              </w:rPr>
            </w:pPr>
          </w:p>
          <w:p>
            <w:pPr>
              <w:rPr>
                <w:rFonts w:ascii="宋体" w:hAnsi="宋体"/>
                <w:szCs w:val="21"/>
              </w:rPr>
            </w:pPr>
            <w:r>
              <w:rPr>
                <w:rFonts w:hint="eastAsia" w:ascii="宋体" w:hAnsi="宋体"/>
                <w:szCs w:val="21"/>
              </w:rPr>
              <w:t>二、技术要求：</w:t>
            </w:r>
          </w:p>
          <w:p>
            <w:pPr>
              <w:numPr>
                <w:ilvl w:val="0"/>
                <w:numId w:val="26"/>
              </w:numPr>
              <w:rPr>
                <w:rFonts w:ascii="宋体" w:hAnsi="宋体"/>
                <w:szCs w:val="21"/>
              </w:rPr>
            </w:pPr>
            <w:r>
              <w:rPr>
                <w:rFonts w:hint="eastAsia" w:ascii="宋体" w:hAnsi="宋体"/>
                <w:szCs w:val="21"/>
              </w:rPr>
              <w:t>管材和管件规格、压力等级、加工质量等，应符合现行的国家或行业生产技术标准，并应</w:t>
            </w:r>
            <w:r>
              <w:rPr>
                <w:rFonts w:ascii="宋体" w:hAnsi="宋体"/>
              </w:rPr>
              <w:t>符合设计要求</w:t>
            </w:r>
            <w:r>
              <w:rPr>
                <w:rFonts w:hint="eastAsia" w:ascii="宋体" w:hAnsi="宋体"/>
              </w:rPr>
              <w:t>。</w:t>
            </w:r>
          </w:p>
          <w:p>
            <w:pPr>
              <w:numPr>
                <w:ilvl w:val="0"/>
                <w:numId w:val="26"/>
              </w:numPr>
              <w:rPr>
                <w:rFonts w:ascii="宋体" w:hAnsi="宋体"/>
              </w:rPr>
            </w:pPr>
            <w:r>
              <w:rPr>
                <w:rFonts w:hint="eastAsia" w:ascii="宋体" w:hAnsi="宋体"/>
              </w:rPr>
              <w:t>产品应具有省级以上卫生防疫部门颁发的“卫生许可证”。 管材满足饮用水管GB/T 17219标准要求。</w:t>
            </w:r>
          </w:p>
          <w:p>
            <w:pPr>
              <w:numPr>
                <w:ilvl w:val="0"/>
                <w:numId w:val="26"/>
              </w:numPr>
              <w:rPr>
                <w:rFonts w:ascii="宋体" w:hAnsi="宋体"/>
                <w:szCs w:val="21"/>
              </w:rPr>
            </w:pPr>
            <w:r>
              <w:rPr>
                <w:rFonts w:hint="eastAsia" w:ascii="宋体" w:hAnsi="宋体"/>
                <w:szCs w:val="21"/>
              </w:rPr>
              <w:t>管道应符合</w:t>
            </w:r>
            <w:r>
              <w:rPr>
                <w:rFonts w:ascii="Arial" w:hAnsi="Arial" w:cs="Arial"/>
                <w:szCs w:val="20"/>
              </w:rPr>
              <w:t>给水用聚乙烯(PE)管材GB/T13663-2000</w:t>
            </w:r>
            <w:r>
              <w:rPr>
                <w:rFonts w:hint="eastAsia" w:ascii="宋体" w:hAnsi="宋体"/>
                <w:szCs w:val="21"/>
              </w:rPr>
              <w:t>的规定；管件应符合</w:t>
            </w:r>
            <w:r>
              <w:rPr>
                <w:szCs w:val="21"/>
              </w:rPr>
              <w:t>GB/T 13663.2-2005</w:t>
            </w:r>
            <w:r>
              <w:rPr>
                <w:rFonts w:hint="eastAsia" w:ascii="宋体" w:hAnsi="宋体"/>
                <w:szCs w:val="21"/>
              </w:rPr>
              <w:t>《给水用</w:t>
            </w:r>
            <w:r>
              <w:rPr>
                <w:szCs w:val="21"/>
              </w:rPr>
              <w:t>聚乙烯（PE）管道系统 第二部分：管件</w:t>
            </w:r>
            <w:r>
              <w:rPr>
                <w:rFonts w:hint="eastAsia" w:ascii="宋体" w:hAnsi="宋体"/>
                <w:szCs w:val="21"/>
              </w:rPr>
              <w:t>》的规定。</w:t>
            </w:r>
          </w:p>
          <w:p>
            <w:pPr>
              <w:numPr>
                <w:ilvl w:val="0"/>
                <w:numId w:val="26"/>
              </w:numPr>
              <w:rPr>
                <w:rFonts w:ascii="宋体" w:hAnsi="宋体"/>
                <w:szCs w:val="21"/>
              </w:rPr>
            </w:pPr>
            <w:r>
              <w:rPr>
                <w:rFonts w:hint="eastAsia" w:ascii="宋体" w:hAnsi="宋体"/>
                <w:szCs w:val="21"/>
              </w:rPr>
              <w:t>管材和管件应采用不低于PE100等级的材料制造。</w:t>
            </w:r>
          </w:p>
          <w:p>
            <w:pPr>
              <w:numPr>
                <w:ilvl w:val="0"/>
                <w:numId w:val="26"/>
              </w:numPr>
              <w:rPr>
                <w:rFonts w:ascii="宋体" w:hAnsi="宋体"/>
                <w:szCs w:val="21"/>
              </w:rPr>
            </w:pPr>
            <w:r>
              <w:rPr>
                <w:rFonts w:hint="eastAsia" w:ascii="宋体" w:hAnsi="宋体"/>
                <w:szCs w:val="21"/>
              </w:rPr>
              <w:t>管材和管件的内外表面应光滑平整，壁厚均匀，无划痕。管材外表应标注供应厂名称，产品型号，生产日期，产品标准等。管道连接方式采用热熔或电熔连接。</w:t>
            </w:r>
          </w:p>
          <w:p>
            <w:pPr>
              <w:numPr>
                <w:ilvl w:val="0"/>
                <w:numId w:val="26"/>
              </w:numPr>
              <w:rPr>
                <w:rFonts w:ascii="宋体" w:hAnsi="宋体"/>
                <w:szCs w:val="21"/>
              </w:rPr>
            </w:pPr>
            <w:r>
              <w:rPr>
                <w:rFonts w:hint="eastAsia" w:ascii="宋体" w:hAnsi="宋体"/>
                <w:szCs w:val="21"/>
              </w:rPr>
              <w:t>管材不允许使用再生料。</w:t>
            </w:r>
          </w:p>
          <w:p>
            <w:pPr>
              <w:numPr>
                <w:ilvl w:val="0"/>
                <w:numId w:val="26"/>
              </w:numPr>
              <w:rPr>
                <w:rFonts w:ascii="宋体" w:hAnsi="宋体"/>
              </w:rPr>
            </w:pPr>
            <w:r>
              <w:rPr>
                <w:rFonts w:hint="eastAsia" w:ascii="宋体" w:hAnsi="宋体"/>
              </w:rPr>
              <w:t>连接方式采用</w:t>
            </w:r>
            <w:r>
              <w:rPr>
                <w:rFonts w:hint="eastAsia" w:ascii="宋体" w:hAnsi="宋体"/>
                <w:szCs w:val="21"/>
              </w:rPr>
              <w:t>热熔或电熔连接</w:t>
            </w:r>
            <w:r>
              <w:rPr>
                <w:rFonts w:hint="eastAsia" w:ascii="宋体" w:hAnsi="宋体"/>
              </w:rPr>
              <w:t>，与设备连接采用法兰连接。</w:t>
            </w:r>
          </w:p>
          <w:p>
            <w:pPr>
              <w:numPr>
                <w:ilvl w:val="0"/>
                <w:numId w:val="26"/>
              </w:numPr>
              <w:rPr>
                <w:rFonts w:ascii="宋体" w:hAnsi="宋体"/>
              </w:rPr>
            </w:pPr>
            <w:r>
              <w:rPr>
                <w:rFonts w:hint="eastAsia" w:ascii="宋体" w:hAnsi="宋体"/>
              </w:rPr>
              <w:t>应由管材供应商配套提供管材、管件，专用机具和辅料。</w:t>
            </w:r>
          </w:p>
          <w:p>
            <w:pPr>
              <w:numPr>
                <w:ilvl w:val="0"/>
                <w:numId w:val="26"/>
              </w:numPr>
              <w:rPr>
                <w:rFonts w:ascii="宋体" w:hAnsi="宋体"/>
                <w:szCs w:val="21"/>
              </w:rPr>
            </w:pPr>
            <w:r>
              <w:rPr>
                <w:rFonts w:hint="eastAsia" w:ascii="宋体" w:hAnsi="宋体"/>
                <w:szCs w:val="21"/>
              </w:rPr>
              <w:t>用于</w:t>
            </w:r>
            <w:r>
              <w:rPr>
                <w:rFonts w:hint="eastAsia" w:ascii="宋体" w:hAnsi="宋体"/>
              </w:rPr>
              <w:t>室外埋地生活给水管道</w:t>
            </w:r>
            <w:r>
              <w:rPr>
                <w:rFonts w:hint="eastAsia" w:ascii="宋体" w:hAnsi="宋体"/>
                <w:szCs w:val="21"/>
              </w:rPr>
              <w:t>。</w:t>
            </w:r>
          </w:p>
          <w:p>
            <w:pPr>
              <w:rPr>
                <w:rFonts w:ascii="宋体" w:hAnsi="宋体"/>
                <w:szCs w:val="21"/>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5.</w:t>
            </w:r>
          </w:p>
        </w:tc>
        <w:tc>
          <w:tcPr>
            <w:tcW w:w="966" w:type="dxa"/>
          </w:tcPr>
          <w:p>
            <w:pPr>
              <w:spacing w:line="390" w:lineRule="exact"/>
              <w:jc w:val="center"/>
              <w:rPr>
                <w:rFonts w:ascii="宋体" w:hAnsi="宋体"/>
              </w:rPr>
            </w:pPr>
            <w:r>
              <w:rPr>
                <w:rFonts w:hint="eastAsia" w:ascii="宋体" w:hAnsi="宋体"/>
              </w:rPr>
              <w:t>PVC-U给水管</w:t>
            </w:r>
          </w:p>
        </w:tc>
        <w:tc>
          <w:tcPr>
            <w:tcW w:w="5926" w:type="dxa"/>
          </w:tcPr>
          <w:p>
            <w:pPr>
              <w:rPr>
                <w:rFonts w:ascii="宋体" w:hAnsi="宋体"/>
              </w:rPr>
            </w:pPr>
            <w:r>
              <w:rPr>
                <w:rFonts w:hint="eastAsia" w:ascii="宋体" w:hAnsi="宋体"/>
              </w:rPr>
              <w:t>一、商务要求：</w:t>
            </w:r>
          </w:p>
          <w:p>
            <w:pPr>
              <w:rPr>
                <w:rFonts w:ascii="宋体" w:hAnsi="宋体"/>
              </w:rPr>
            </w:pPr>
            <w:r>
              <w:rPr>
                <w:rFonts w:hint="eastAsia" w:ascii="宋体" w:hAnsi="宋体"/>
              </w:rPr>
              <w:t>1）</w:t>
            </w:r>
            <w:r>
              <w:rPr>
                <w:rFonts w:ascii="宋体" w:hAnsi="宋体"/>
              </w:rPr>
              <w:t>营业执照所示营业范围应符合要求</w:t>
            </w:r>
            <w:r>
              <w:rPr>
                <w:rFonts w:hint="eastAsia" w:ascii="宋体" w:hAnsi="宋体"/>
              </w:rPr>
              <w:t>。</w:t>
            </w:r>
          </w:p>
          <w:p>
            <w:pPr>
              <w:rPr>
                <w:rFonts w:ascii="宋体" w:hAnsi="宋体"/>
              </w:rPr>
            </w:pPr>
            <w:r>
              <w:rPr>
                <w:rFonts w:hint="eastAsia" w:ascii="宋体" w:hAnsi="宋体"/>
              </w:rPr>
              <w:t>2）制造商应通过ISO9001：2000质量管理体系认证及ISO14001：1996 环境管理体系认证。</w:t>
            </w:r>
          </w:p>
          <w:p>
            <w:pPr>
              <w:rPr>
                <w:rFonts w:ascii="宋体" w:hAnsi="宋体"/>
              </w:rPr>
            </w:pPr>
            <w:r>
              <w:rPr>
                <w:rFonts w:hint="eastAsia" w:ascii="宋体" w:hAnsi="宋体"/>
              </w:rPr>
              <w:t>3）制造商注册资本：不少于2000万人民币。</w:t>
            </w:r>
          </w:p>
          <w:p>
            <w:pPr>
              <w:rPr>
                <w:rFonts w:ascii="宋体" w:hAnsi="宋体"/>
              </w:rPr>
            </w:pPr>
            <w:r>
              <w:rPr>
                <w:rFonts w:hint="eastAsia" w:ascii="宋体" w:hAnsi="宋体"/>
              </w:rPr>
              <w:t>4）</w:t>
            </w:r>
            <w:r>
              <w:rPr>
                <w:rFonts w:hint="eastAsia"/>
              </w:rPr>
              <w:t>须提供国家化学建筑材料测试中心出具的检测报告证明。</w:t>
            </w:r>
          </w:p>
          <w:p>
            <w:pPr>
              <w:rPr>
                <w:rFonts w:ascii="宋体" w:hAnsi="宋体"/>
              </w:rPr>
            </w:pPr>
            <w:r>
              <w:rPr>
                <w:rFonts w:hint="eastAsia" w:ascii="宋体" w:hAnsi="宋体"/>
              </w:rPr>
              <w:t>5）制造商在深圳地区设有完善的售后服务机构。</w:t>
            </w:r>
          </w:p>
          <w:p>
            <w:pPr>
              <w:rPr>
                <w:rFonts w:ascii="宋体" w:hAnsi="宋体"/>
              </w:rPr>
            </w:pPr>
          </w:p>
          <w:p>
            <w:pPr>
              <w:rPr>
                <w:rFonts w:ascii="宋体" w:hAnsi="宋体"/>
              </w:rPr>
            </w:pPr>
            <w:r>
              <w:rPr>
                <w:rFonts w:hint="eastAsia" w:ascii="宋体" w:hAnsi="宋体"/>
              </w:rPr>
              <w:t>二、技术要求：</w:t>
            </w:r>
          </w:p>
          <w:p>
            <w:r>
              <w:rPr>
                <w:rFonts w:hint="eastAsia"/>
              </w:rPr>
              <w:t>1）管材和管件规格、压力等级、加工质量等，应符合现行的国家或行业生产技术标准和设计要求。</w:t>
            </w:r>
          </w:p>
          <w:p>
            <w:pPr>
              <w:rPr>
                <w:rFonts w:ascii="宋体" w:hAnsi="宋体"/>
              </w:rPr>
            </w:pPr>
            <w:r>
              <w:rPr>
                <w:rFonts w:hint="eastAsia" w:ascii="宋体" w:hAnsi="宋体"/>
              </w:rPr>
              <w:t>2）符合</w:t>
            </w:r>
            <w:r>
              <w:rPr>
                <w:rFonts w:ascii="宋体" w:hAnsi="宋体"/>
              </w:rPr>
              <w:t>CECS41：2004</w:t>
            </w:r>
            <w:r>
              <w:rPr>
                <w:rFonts w:hint="eastAsia" w:ascii="宋体" w:hAnsi="宋体"/>
              </w:rPr>
              <w:t>《</w:t>
            </w:r>
            <w:r>
              <w:rPr>
                <w:rFonts w:ascii="宋体" w:hAnsi="宋体"/>
              </w:rPr>
              <w:t>建筑</w:t>
            </w:r>
            <w:r>
              <w:rPr>
                <w:rFonts w:hint="eastAsia" w:ascii="宋体" w:hAnsi="宋体"/>
              </w:rPr>
              <w:t>给</w:t>
            </w:r>
            <w:r>
              <w:rPr>
                <w:rFonts w:ascii="宋体" w:hAnsi="宋体"/>
              </w:rPr>
              <w:t>水硬聚氯乙烯</w:t>
            </w:r>
            <w:r>
              <w:rPr>
                <w:rFonts w:hint="eastAsia" w:ascii="宋体" w:hAnsi="宋体"/>
              </w:rPr>
              <w:t>管</w:t>
            </w:r>
            <w:r>
              <w:rPr>
                <w:rFonts w:ascii="宋体" w:hAnsi="宋体"/>
              </w:rPr>
              <w:t>管道工程技术规程</w:t>
            </w:r>
            <w:r>
              <w:rPr>
                <w:rFonts w:hint="eastAsia" w:ascii="宋体" w:hAnsi="宋体"/>
              </w:rPr>
              <w:t>》要求。</w:t>
            </w:r>
          </w:p>
          <w:p>
            <w:pPr>
              <w:rPr>
                <w:rFonts w:ascii="宋体" w:hAnsi="宋体"/>
              </w:rPr>
            </w:pPr>
            <w:r>
              <w:rPr>
                <w:rFonts w:hint="eastAsia" w:ascii="宋体" w:hAnsi="宋体"/>
              </w:rPr>
              <w:t>3）</w:t>
            </w:r>
            <w:r>
              <w:rPr>
                <w:rFonts w:hint="eastAsia"/>
              </w:rPr>
              <w:t>管材和管件的内外表面应光滑平整，壁厚均匀，无划痕，外壁颜色均匀，管材外壁应标注供应厂名称，产品型号，尺寸，生产日期，原材料型号，产品标准等。管材端口整齐，且端面应垂直于管材的轴线。</w:t>
            </w:r>
          </w:p>
          <w:p>
            <w:pPr>
              <w:rPr>
                <w:rFonts w:ascii="宋体" w:hAnsi="宋体"/>
              </w:rPr>
            </w:pPr>
            <w:r>
              <w:rPr>
                <w:rFonts w:hint="eastAsia" w:ascii="宋体" w:hAnsi="宋体"/>
              </w:rPr>
              <w:t>3)</w:t>
            </w:r>
            <w:r>
              <w:rPr>
                <w:rFonts w:hint="eastAsia"/>
              </w:rPr>
              <w:t>不允许使用再生料。</w:t>
            </w:r>
          </w:p>
          <w:p>
            <w:pPr>
              <w:rPr>
                <w:rFonts w:ascii="宋体" w:hAnsi="宋体"/>
              </w:rPr>
            </w:pPr>
            <w:r>
              <w:rPr>
                <w:rFonts w:hint="eastAsia" w:ascii="宋体" w:hAnsi="宋体"/>
              </w:rPr>
              <w:t>4）应由管材供应商配套提供管材、管件，专用机具和辅料。</w:t>
            </w:r>
          </w:p>
          <w:p>
            <w:pPr>
              <w:rPr>
                <w:rFonts w:ascii="宋体" w:hAnsi="宋体"/>
              </w:rPr>
            </w:pPr>
            <w:r>
              <w:rPr>
                <w:rFonts w:hint="eastAsia" w:ascii="宋体" w:hAnsi="宋体"/>
              </w:rPr>
              <w:t>5）伸缩节、阻火圈、止水环、检查口等应按规范设置。</w:t>
            </w:r>
          </w:p>
          <w:p>
            <w:pPr>
              <w:rPr>
                <w:rFonts w:ascii="宋体" w:hAnsi="宋体"/>
              </w:rPr>
            </w:pPr>
            <w:r>
              <w:rPr>
                <w:rFonts w:hint="eastAsia" w:ascii="宋体" w:hAnsi="宋体"/>
              </w:rPr>
              <w:t>6）连接方式符合设计要求。</w:t>
            </w:r>
          </w:p>
          <w:p>
            <w:pPr>
              <w:rPr>
                <w:rFonts w:ascii="宋体" w:hAnsi="宋体"/>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6.</w:t>
            </w:r>
          </w:p>
        </w:tc>
        <w:tc>
          <w:tcPr>
            <w:tcW w:w="966" w:type="dxa"/>
          </w:tcPr>
          <w:p>
            <w:pPr>
              <w:spacing w:line="390" w:lineRule="exact"/>
              <w:jc w:val="center"/>
              <w:rPr>
                <w:rFonts w:ascii="宋体" w:hAnsi="宋体"/>
                <w:b/>
                <w:bCs/>
                <w:szCs w:val="21"/>
              </w:rPr>
            </w:pPr>
            <w:r>
              <w:rPr>
                <w:rFonts w:hint="eastAsia" w:ascii="宋体" w:hAnsi="宋体"/>
              </w:rPr>
              <w:t>PVC-U排水管</w:t>
            </w:r>
          </w:p>
        </w:tc>
        <w:tc>
          <w:tcPr>
            <w:tcW w:w="5926" w:type="dxa"/>
          </w:tcPr>
          <w:p>
            <w:pPr>
              <w:rPr>
                <w:rFonts w:ascii="宋体" w:hAnsi="宋体"/>
              </w:rPr>
            </w:pPr>
            <w:r>
              <w:rPr>
                <w:rFonts w:hint="eastAsia" w:ascii="宋体" w:hAnsi="宋体"/>
              </w:rPr>
              <w:t>一、商务要求：</w:t>
            </w:r>
          </w:p>
          <w:p>
            <w:pPr>
              <w:rPr>
                <w:rFonts w:ascii="宋体" w:hAnsi="宋体"/>
              </w:rPr>
            </w:pPr>
            <w:r>
              <w:rPr>
                <w:rFonts w:hint="eastAsia" w:ascii="宋体" w:hAnsi="宋体"/>
              </w:rPr>
              <w:t>1）</w:t>
            </w:r>
            <w:r>
              <w:rPr>
                <w:rFonts w:ascii="宋体" w:hAnsi="宋体"/>
              </w:rPr>
              <w:t>营业执照所示营业范围应符合要求</w:t>
            </w:r>
            <w:r>
              <w:rPr>
                <w:rFonts w:hint="eastAsia" w:ascii="宋体" w:hAnsi="宋体"/>
              </w:rPr>
              <w:t>。</w:t>
            </w:r>
          </w:p>
          <w:p>
            <w:pPr>
              <w:rPr>
                <w:rFonts w:ascii="宋体" w:hAnsi="宋体"/>
              </w:rPr>
            </w:pPr>
            <w:r>
              <w:rPr>
                <w:rFonts w:hint="eastAsia" w:ascii="宋体" w:hAnsi="宋体"/>
              </w:rPr>
              <w:t>2）制造商应通过ISO9001：2000质量管理体系认证及ISO14001：1996 环境管理体系认证。</w:t>
            </w:r>
          </w:p>
          <w:p>
            <w:pPr>
              <w:rPr>
                <w:rFonts w:ascii="宋体" w:hAnsi="宋体"/>
              </w:rPr>
            </w:pPr>
            <w:r>
              <w:rPr>
                <w:rFonts w:hint="eastAsia" w:ascii="宋体" w:hAnsi="宋体"/>
              </w:rPr>
              <w:t>3）制造商注册资本：不少于2000万人民币。</w:t>
            </w:r>
          </w:p>
          <w:p>
            <w:pPr>
              <w:rPr>
                <w:rFonts w:ascii="宋体" w:hAnsi="宋体"/>
              </w:rPr>
            </w:pPr>
            <w:r>
              <w:rPr>
                <w:rFonts w:hint="eastAsia" w:ascii="宋体" w:hAnsi="宋体"/>
              </w:rPr>
              <w:t>4）</w:t>
            </w:r>
            <w:r>
              <w:rPr>
                <w:rFonts w:hint="eastAsia"/>
              </w:rPr>
              <w:t>须提供国家化学建筑材料测试中心出具的检测报告证明。</w:t>
            </w:r>
          </w:p>
          <w:p>
            <w:pPr>
              <w:rPr>
                <w:rFonts w:ascii="宋体" w:hAnsi="宋体"/>
              </w:rPr>
            </w:pPr>
            <w:r>
              <w:rPr>
                <w:rFonts w:hint="eastAsia" w:ascii="宋体" w:hAnsi="宋体"/>
              </w:rPr>
              <w:t>5）制造商在深圳地区设有完善的售后服务机构。</w:t>
            </w:r>
          </w:p>
          <w:p>
            <w:pPr>
              <w:rPr>
                <w:rFonts w:ascii="宋体" w:hAnsi="宋体"/>
              </w:rPr>
            </w:pPr>
          </w:p>
          <w:p>
            <w:pPr>
              <w:rPr>
                <w:rFonts w:ascii="宋体" w:hAnsi="宋体"/>
              </w:rPr>
            </w:pPr>
            <w:r>
              <w:rPr>
                <w:rFonts w:hint="eastAsia" w:ascii="宋体" w:hAnsi="宋体"/>
              </w:rPr>
              <w:t>二、技术要求：</w:t>
            </w:r>
          </w:p>
          <w:p>
            <w:r>
              <w:rPr>
                <w:rFonts w:hint="eastAsia"/>
              </w:rPr>
              <w:t>1）管材和管件规格、压力等级、加工质量等，应符合现行的国家或行业生产技术标准和设计要求。</w:t>
            </w:r>
          </w:p>
          <w:p>
            <w:pPr>
              <w:rPr>
                <w:rFonts w:ascii="宋体" w:hAnsi="宋体"/>
              </w:rPr>
            </w:pPr>
            <w:r>
              <w:rPr>
                <w:rFonts w:hint="eastAsia" w:ascii="宋体" w:hAnsi="宋体"/>
              </w:rPr>
              <w:t>2)符合</w:t>
            </w:r>
            <w:r>
              <w:rPr>
                <w:rFonts w:ascii="宋体" w:hAnsi="宋体"/>
              </w:rPr>
              <w:t>CJJ/T29-</w:t>
            </w:r>
            <w:r>
              <w:rPr>
                <w:rFonts w:hint="eastAsia" w:ascii="宋体" w:hAnsi="宋体"/>
              </w:rPr>
              <w:t>2010</w:t>
            </w:r>
            <w:r>
              <w:rPr>
                <w:rFonts w:ascii="宋体" w:hAnsi="宋体"/>
              </w:rPr>
              <w:t xml:space="preserve"> </w:t>
            </w:r>
            <w:r>
              <w:rPr>
                <w:rFonts w:hint="eastAsia" w:ascii="宋体" w:hAnsi="宋体"/>
              </w:rPr>
              <w:t>《</w:t>
            </w:r>
            <w:r>
              <w:rPr>
                <w:rFonts w:ascii="宋体" w:hAnsi="宋体"/>
              </w:rPr>
              <w:t>建筑排水硬聚氯乙烯管道工程技术规程</w:t>
            </w:r>
            <w:r>
              <w:rPr>
                <w:rFonts w:hint="eastAsia" w:ascii="宋体" w:hAnsi="宋体"/>
              </w:rPr>
              <w:t>》要求。</w:t>
            </w:r>
          </w:p>
          <w:p>
            <w:pPr>
              <w:rPr>
                <w:rFonts w:ascii="宋体" w:hAnsi="宋体"/>
              </w:rPr>
            </w:pPr>
            <w:r>
              <w:rPr>
                <w:rFonts w:hint="eastAsia" w:ascii="宋体" w:hAnsi="宋体"/>
              </w:rPr>
              <w:t>3）</w:t>
            </w:r>
            <w:r>
              <w:rPr>
                <w:rFonts w:hint="eastAsia"/>
              </w:rPr>
              <w:t>管材和管件的内外表面应光滑平整，壁厚均匀，无划痕，外壁颜色均匀，管材外壁应标注供应厂名称，产品型号，尺寸，生产日期，原材料型号，产品标准等。管材端口整齐，且端面应垂直于管材的轴线。</w:t>
            </w:r>
          </w:p>
          <w:p>
            <w:pPr>
              <w:rPr>
                <w:rFonts w:ascii="宋体" w:hAnsi="宋体"/>
              </w:rPr>
            </w:pPr>
            <w:r>
              <w:rPr>
                <w:rFonts w:hint="eastAsia" w:ascii="宋体" w:hAnsi="宋体"/>
              </w:rPr>
              <w:t>4)</w:t>
            </w:r>
            <w:r>
              <w:rPr>
                <w:rFonts w:hint="eastAsia"/>
              </w:rPr>
              <w:t>不允许使用再生料。</w:t>
            </w:r>
          </w:p>
          <w:p>
            <w:pPr>
              <w:rPr>
                <w:rFonts w:ascii="宋体" w:hAnsi="宋体"/>
              </w:rPr>
            </w:pPr>
            <w:r>
              <w:rPr>
                <w:rFonts w:hint="eastAsia" w:ascii="宋体" w:hAnsi="宋体"/>
              </w:rPr>
              <w:t>4）应由管材供应商配套提供管材、管件，专用机具和辅料。</w:t>
            </w:r>
          </w:p>
          <w:p>
            <w:pPr>
              <w:rPr>
                <w:rFonts w:ascii="宋体" w:hAnsi="宋体"/>
              </w:rPr>
            </w:pPr>
            <w:r>
              <w:rPr>
                <w:rFonts w:hint="eastAsia" w:ascii="宋体" w:hAnsi="宋体"/>
              </w:rPr>
              <w:t>5）伸缩节、阻火圈、止水环、检查口等应按规范设置。</w:t>
            </w:r>
          </w:p>
          <w:p>
            <w:pPr>
              <w:rPr>
                <w:rFonts w:ascii="宋体" w:hAnsi="宋体"/>
              </w:rPr>
            </w:pPr>
            <w:r>
              <w:rPr>
                <w:rFonts w:hint="eastAsia" w:ascii="宋体" w:hAnsi="宋体"/>
              </w:rPr>
              <w:t>6)地漏水封深度不得小于50毫米。厨房、茶水间内地漏采用带网筐式塑料地漏。</w:t>
            </w:r>
          </w:p>
          <w:p>
            <w:pPr>
              <w:rPr>
                <w:rFonts w:ascii="宋体" w:hAnsi="宋体"/>
              </w:rPr>
            </w:pPr>
            <w:r>
              <w:rPr>
                <w:rFonts w:hint="eastAsia" w:ascii="宋体" w:hAnsi="宋体"/>
              </w:rPr>
              <w:t>7）连接方式采用承插粘接。</w:t>
            </w:r>
          </w:p>
          <w:p>
            <w:pPr>
              <w:rPr>
                <w:rFonts w:ascii="宋体" w:hAnsi="宋体"/>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7.</w:t>
            </w:r>
          </w:p>
        </w:tc>
        <w:tc>
          <w:tcPr>
            <w:tcW w:w="966" w:type="dxa"/>
          </w:tcPr>
          <w:p>
            <w:r>
              <w:rPr>
                <w:rFonts w:hint="eastAsia"/>
              </w:rPr>
              <w:t>HDPE双壁波纹管</w:t>
            </w:r>
          </w:p>
        </w:tc>
        <w:tc>
          <w:tcPr>
            <w:tcW w:w="5926" w:type="dxa"/>
            <w:vAlign w:val="center"/>
          </w:tcPr>
          <w:p>
            <w:r>
              <w:rPr>
                <w:rFonts w:hint="eastAsia" w:ascii="宋体" w:hAnsi="宋体"/>
                <w:szCs w:val="21"/>
              </w:rPr>
              <w:t>一、</w:t>
            </w:r>
            <w:r>
              <w:rPr>
                <w:rFonts w:hint="eastAsia" w:ascii="宋体" w:hAnsi="宋体"/>
              </w:rPr>
              <w:t>商务</w:t>
            </w:r>
            <w:r>
              <w:rPr>
                <w:rFonts w:hint="eastAsia"/>
              </w:rPr>
              <w:t>要求：</w:t>
            </w:r>
          </w:p>
          <w:p>
            <w:pPr>
              <w:rPr>
                <w:rFonts w:hAnsi="宋体"/>
              </w:rPr>
            </w:pPr>
            <w:r>
              <w:rPr>
                <w:rFonts w:hint="eastAsia" w:hAnsi="宋体"/>
              </w:rPr>
              <w:t>1）</w:t>
            </w:r>
            <w:r>
              <w:rPr>
                <w:rFonts w:hAnsi="宋体"/>
              </w:rPr>
              <w:t>制造商必须通过ISO900</w:t>
            </w:r>
            <w:r>
              <w:rPr>
                <w:rFonts w:hint="eastAsia" w:hAnsi="宋体"/>
              </w:rPr>
              <w:t>1：2000</w:t>
            </w:r>
            <w:r>
              <w:rPr>
                <w:rFonts w:hAnsi="宋体"/>
              </w:rPr>
              <w:t>系列质量体系认证</w:t>
            </w:r>
            <w:r>
              <w:rPr>
                <w:rFonts w:hint="eastAsia" w:hAnsi="宋体"/>
              </w:rPr>
              <w:t>，并能提供相关产品的国家权威机构检验报告。</w:t>
            </w:r>
          </w:p>
          <w:p>
            <w:pPr>
              <w:rPr>
                <w:rFonts w:hAnsi="宋体"/>
              </w:rPr>
            </w:pPr>
            <w:r>
              <w:rPr>
                <w:rFonts w:hint="eastAsia" w:hAnsi="宋体"/>
              </w:rPr>
              <w:t>2）</w:t>
            </w:r>
            <w:r>
              <w:rPr>
                <w:rFonts w:hAnsi="宋体"/>
              </w:rPr>
              <w:t>制造商</w:t>
            </w:r>
            <w:r>
              <w:rPr>
                <w:rFonts w:hint="eastAsia" w:hAnsi="宋体"/>
              </w:rPr>
              <w:t>注册资本：不少于2000万元人民币。</w:t>
            </w:r>
          </w:p>
          <w:p>
            <w:pPr>
              <w:rPr>
                <w:rFonts w:ascii="宋体" w:hAnsi="宋体"/>
              </w:rPr>
            </w:pPr>
            <w:r>
              <w:rPr>
                <w:rFonts w:hint="eastAsia" w:ascii="宋体" w:hAnsi="宋体"/>
              </w:rPr>
              <w:t>3）应为省级以上名牌产品，或省级以上著名商标，或国家免检产品。</w:t>
            </w:r>
          </w:p>
          <w:p>
            <w:pPr>
              <w:rPr>
                <w:rFonts w:ascii="宋体" w:hAnsi="宋体"/>
              </w:rPr>
            </w:pPr>
            <w:r>
              <w:rPr>
                <w:rFonts w:hint="eastAsia" w:hAnsi="宋体"/>
              </w:rPr>
              <w:t>4）</w:t>
            </w:r>
            <w:r>
              <w:rPr>
                <w:rFonts w:hint="eastAsia" w:ascii="宋体" w:hAnsi="宋体"/>
              </w:rPr>
              <w:t>制造商在深圳地区设有完善的售后服务机构。</w:t>
            </w:r>
          </w:p>
          <w:p>
            <w:pPr>
              <w:rPr>
                <w:rFonts w:hAnsi="宋体"/>
              </w:rPr>
            </w:pPr>
          </w:p>
          <w:p>
            <w:pPr>
              <w:rPr>
                <w:rFonts w:ascii="宋体" w:hAnsi="宋体"/>
              </w:rPr>
            </w:pPr>
            <w:r>
              <w:rPr>
                <w:rFonts w:hint="eastAsia" w:ascii="宋体" w:hAnsi="宋体"/>
              </w:rPr>
              <w:t>二、技术要求：</w:t>
            </w:r>
          </w:p>
          <w:p>
            <w:pPr>
              <w:spacing w:line="300" w:lineRule="auto"/>
              <w:jc w:val="left"/>
              <w:rPr>
                <w:b/>
                <w:bCs/>
                <w:szCs w:val="21"/>
              </w:rPr>
            </w:pPr>
            <w:r>
              <w:rPr>
                <w:rFonts w:hint="eastAsia"/>
              </w:rPr>
              <w:t>1）HDPE双壁波纹管应满足</w:t>
            </w:r>
            <w:r>
              <w:rPr>
                <w:rFonts w:hint="eastAsia"/>
                <w:b/>
              </w:rPr>
              <w:t>《</w:t>
            </w:r>
            <w:r>
              <w:rPr>
                <w:rFonts w:ascii="Arial" w:hAnsi="Arial" w:cs="Arial"/>
              </w:rPr>
              <w:t>埋地用聚乙烯(PE)结构壁管道系统第1部分:聚乙烯双壁波纹管材</w:t>
            </w:r>
            <w:r>
              <w:rPr>
                <w:rStyle w:val="46"/>
                <w:rFonts w:hint="eastAsia"/>
                <w:b w:val="0"/>
                <w:szCs w:val="21"/>
              </w:rPr>
              <w:t>》</w:t>
            </w:r>
            <w:r>
              <w:rPr>
                <w:rStyle w:val="46"/>
                <w:rFonts w:hint="eastAsia"/>
                <w:szCs w:val="21"/>
              </w:rPr>
              <w:t>（</w:t>
            </w:r>
            <w:r>
              <w:rPr>
                <w:rFonts w:ascii="Arial" w:hAnsi="Arial" w:cs="Arial"/>
              </w:rPr>
              <w:t>GB/T19472.1－2004</w:t>
            </w:r>
            <w:r>
              <w:rPr>
                <w:rFonts w:hint="eastAsia"/>
              </w:rPr>
              <w:t>）的要求。</w:t>
            </w:r>
          </w:p>
          <w:p>
            <w:pPr>
              <w:rPr>
                <w:rFonts w:ascii="宋体" w:hAnsi="宋体" w:cs="Arial"/>
                <w:szCs w:val="21"/>
              </w:rPr>
            </w:pPr>
            <w:r>
              <w:rPr>
                <w:rFonts w:hint="eastAsia"/>
              </w:rPr>
              <w:t>2）</w:t>
            </w:r>
            <w:r>
              <w:rPr>
                <w:rFonts w:hint="eastAsia" w:ascii="宋体" w:hAnsi="宋体"/>
                <w:szCs w:val="21"/>
              </w:rPr>
              <w:t>管材和管件规格、环刚度，应符合设计及有关标准规范的要求。</w:t>
            </w:r>
          </w:p>
          <w:p>
            <w:pPr>
              <w:rPr>
                <w:rFonts w:ascii="宋体" w:hAnsi="宋体"/>
                <w:szCs w:val="21"/>
              </w:rPr>
            </w:pPr>
            <w:r>
              <w:rPr>
                <w:rFonts w:hint="eastAsia" w:ascii="宋体" w:hAnsi="宋体" w:cs="Arial"/>
                <w:szCs w:val="21"/>
              </w:rPr>
              <w:t>3）</w:t>
            </w:r>
            <w:r>
              <w:rPr>
                <w:rFonts w:hint="eastAsia" w:ascii="宋体" w:hAnsi="宋体"/>
                <w:szCs w:val="21"/>
              </w:rPr>
              <w:t>管材和管件的内外表面应光滑，壁厚均匀，无划痕。管材外表应标注供应厂名称，产品型号，生产日期，产品标准等。</w:t>
            </w:r>
            <w:r>
              <w:rPr>
                <w:rFonts w:hint="eastAsia"/>
              </w:rPr>
              <w:t>采用天然橡胶密封圈柔性接口</w:t>
            </w:r>
            <w:r>
              <w:rPr>
                <w:rFonts w:hint="eastAsia" w:ascii="宋体" w:hAnsi="宋体"/>
                <w:szCs w:val="21"/>
              </w:rPr>
              <w:t>。</w:t>
            </w:r>
          </w:p>
          <w:p>
            <w:pPr>
              <w:rPr>
                <w:rFonts w:ascii="宋体" w:hAnsi="宋体"/>
                <w:szCs w:val="21"/>
              </w:rPr>
            </w:pPr>
            <w:r>
              <w:rPr>
                <w:rFonts w:hint="eastAsia" w:ascii="宋体" w:hAnsi="宋体"/>
                <w:szCs w:val="21"/>
              </w:rPr>
              <w:t>4）应由管材供应商配套提供管材、管件，专用机具和辅料。</w:t>
            </w:r>
          </w:p>
          <w:p>
            <w:r>
              <w:rPr>
                <w:rFonts w:hint="eastAsia" w:ascii="宋体" w:hAnsi="宋体" w:cs="Arial"/>
                <w:szCs w:val="21"/>
              </w:rPr>
              <w:t>5）</w:t>
            </w:r>
            <w:r>
              <w:rPr>
                <w:rFonts w:hint="eastAsia"/>
              </w:rPr>
              <w:t>用于室外雨污排水系统。</w:t>
            </w:r>
          </w:p>
          <w:p>
            <w:pPr>
              <w:rPr>
                <w:rFonts w:ascii="宋体" w:hAnsi="宋体"/>
                <w:szCs w:val="21"/>
              </w:rPr>
            </w:pPr>
          </w:p>
        </w:tc>
        <w:tc>
          <w:tcPr>
            <w:tcW w:w="997" w:type="dxa"/>
            <w:vAlign w:val="center"/>
          </w:tcPr>
          <w:p>
            <w:pPr>
              <w:spacing w:line="360" w:lineRule="auto"/>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8.</w:t>
            </w:r>
          </w:p>
        </w:tc>
        <w:tc>
          <w:tcPr>
            <w:tcW w:w="966" w:type="dxa"/>
          </w:tcPr>
          <w:p>
            <w:pPr>
              <w:jc w:val="center"/>
              <w:rPr>
                <w:rFonts w:ascii="宋体" w:hAnsi="宋体" w:cs="宋体"/>
              </w:rPr>
            </w:pPr>
            <w:r>
              <w:rPr>
                <w:rFonts w:hint="eastAsia" w:ascii="宋体" w:hAnsi="宋体" w:cs="宋体"/>
              </w:rPr>
              <w:t>热镀锌</w:t>
            </w:r>
          </w:p>
          <w:p>
            <w:pPr>
              <w:jc w:val="center"/>
            </w:pPr>
            <w:r>
              <w:rPr>
                <w:rFonts w:hint="eastAsia" w:ascii="宋体" w:hAnsi="宋体" w:cs="宋体"/>
              </w:rPr>
              <w:t>钢管</w:t>
            </w:r>
          </w:p>
        </w:tc>
        <w:tc>
          <w:tcPr>
            <w:tcW w:w="5926" w:type="dxa"/>
          </w:tcPr>
          <w:p>
            <w:pPr>
              <w:rPr>
                <w:rFonts w:ascii="宋体" w:hAnsi="宋体"/>
              </w:rPr>
            </w:pPr>
            <w:r>
              <w:rPr>
                <w:rFonts w:hint="eastAsia" w:ascii="宋体" w:hAnsi="宋体"/>
              </w:rPr>
              <w:t>一、商务要求：</w:t>
            </w:r>
          </w:p>
          <w:p>
            <w:pPr>
              <w:ind w:left="-99" w:leftChars="-47" w:firstLine="105" w:firstLineChars="50"/>
              <w:rPr>
                <w:rFonts w:ascii="宋体" w:hAnsi="宋体"/>
              </w:rPr>
            </w:pPr>
            <w:r>
              <w:rPr>
                <w:rFonts w:hint="eastAsia" w:ascii="宋体" w:hAnsi="宋体"/>
              </w:rPr>
              <w:t>1）制造商注册资本：不少于2000万元人民币。</w:t>
            </w:r>
          </w:p>
          <w:p>
            <w:pPr>
              <w:ind w:left="-99" w:leftChars="-47" w:firstLine="105" w:firstLineChars="50"/>
              <w:rPr>
                <w:rFonts w:ascii="宋体" w:hAnsi="宋体"/>
              </w:rPr>
            </w:pPr>
            <w:r>
              <w:rPr>
                <w:rFonts w:hint="eastAsia" w:ascii="宋体" w:hAnsi="宋体"/>
              </w:rPr>
              <w:t>2）制造商应通过ISO9001：2000质量管理体系认证。</w:t>
            </w:r>
          </w:p>
          <w:p>
            <w:pPr>
              <w:ind w:left="-99" w:leftChars="-47" w:firstLine="105" w:firstLineChars="50"/>
              <w:rPr>
                <w:rFonts w:ascii="宋体" w:hAnsi="宋体"/>
              </w:rPr>
            </w:pPr>
            <w:r>
              <w:rPr>
                <w:rFonts w:hint="eastAsia" w:ascii="宋体" w:hAnsi="宋体"/>
              </w:rPr>
              <w:t>3）产品应为省级以上名牌产品，或省级以上著名商标，或国家免检产品。</w:t>
            </w:r>
          </w:p>
          <w:p>
            <w:pPr>
              <w:ind w:left="-99" w:leftChars="-47" w:firstLine="105" w:firstLineChars="50"/>
              <w:rPr>
                <w:rFonts w:ascii="宋体" w:hAnsi="宋体"/>
              </w:rPr>
            </w:pPr>
            <w:r>
              <w:rPr>
                <w:rFonts w:hint="eastAsia" w:ascii="宋体" w:hAnsi="宋体"/>
              </w:rPr>
              <w:t>4）制造商在深圳地区设有完善的售后服务机构。</w:t>
            </w:r>
          </w:p>
          <w:p>
            <w:pPr>
              <w:ind w:left="-99" w:leftChars="-47" w:firstLine="105" w:firstLineChars="50"/>
              <w:rPr>
                <w:rFonts w:ascii="宋体" w:hAnsi="宋体"/>
              </w:rPr>
            </w:pPr>
          </w:p>
          <w:p>
            <w:pPr>
              <w:rPr>
                <w:rFonts w:ascii="宋体" w:hAnsi="宋体"/>
              </w:rPr>
            </w:pPr>
            <w:r>
              <w:rPr>
                <w:rFonts w:hint="eastAsia" w:ascii="宋体" w:hAnsi="宋体"/>
              </w:rPr>
              <w:t>二、技术要求：</w:t>
            </w:r>
          </w:p>
          <w:p>
            <w:pPr>
              <w:ind w:left="-99" w:leftChars="-47" w:firstLine="105" w:firstLineChars="50"/>
              <w:rPr>
                <w:rFonts w:ascii="宋体" w:hAnsi="宋体"/>
              </w:rPr>
            </w:pPr>
            <w:r>
              <w:rPr>
                <w:rFonts w:hint="eastAsia" w:ascii="宋体" w:hAnsi="宋体"/>
              </w:rPr>
              <w:t>1）管材应符合GB/T3091—2008《低压流体输送用镀锌焊接钢管》的要求。</w:t>
            </w:r>
          </w:p>
          <w:p>
            <w:pPr>
              <w:rPr>
                <w:rFonts w:ascii="宋体" w:hAnsi="宋体"/>
              </w:rPr>
            </w:pPr>
            <w:r>
              <w:rPr>
                <w:rFonts w:hint="eastAsia" w:ascii="宋体" w:hAnsi="宋体"/>
              </w:rPr>
              <w:t>2）管材的压力等级应</w:t>
            </w:r>
            <w:r>
              <w:rPr>
                <w:rFonts w:ascii="宋体" w:hAnsi="宋体"/>
              </w:rPr>
              <w:t>符合设计要求</w:t>
            </w:r>
            <w:r>
              <w:rPr>
                <w:rFonts w:hint="eastAsia" w:ascii="宋体" w:hAnsi="宋体"/>
              </w:rPr>
              <w:t>。</w:t>
            </w:r>
          </w:p>
          <w:p>
            <w:pPr>
              <w:ind w:left="216" w:leftChars="3" w:hanging="210" w:hangingChars="100"/>
              <w:rPr>
                <w:rFonts w:ascii="宋体" w:hAnsi="宋体"/>
                <w:szCs w:val="21"/>
              </w:rPr>
            </w:pPr>
            <w:r>
              <w:rPr>
                <w:rFonts w:hint="eastAsia" w:ascii="宋体" w:hAnsi="宋体"/>
              </w:rPr>
              <w:t>3）</w:t>
            </w:r>
            <w:r>
              <w:rPr>
                <w:rFonts w:hint="eastAsia" w:ascii="宋体" w:hAnsi="宋体"/>
                <w:szCs w:val="21"/>
              </w:rPr>
              <w:t>管材</w:t>
            </w:r>
            <w:r>
              <w:rPr>
                <w:rFonts w:ascii="宋体" w:hAnsi="宋体"/>
                <w:szCs w:val="21"/>
              </w:rPr>
              <w:t>经热浸镀锌方式在钢管内外表面镀上</w:t>
            </w:r>
            <w:r>
              <w:rPr>
                <w:rFonts w:hint="eastAsia" w:ascii="宋体" w:hAnsi="宋体"/>
                <w:szCs w:val="21"/>
              </w:rPr>
              <w:t>完整的镀锌层。</w:t>
            </w:r>
          </w:p>
          <w:p>
            <w:pPr>
              <w:ind w:left="216" w:leftChars="3" w:hanging="210" w:hangingChars="100"/>
              <w:rPr>
                <w:rFonts w:ascii="宋体" w:hAnsi="宋体"/>
              </w:rPr>
            </w:pPr>
            <w:r>
              <w:rPr>
                <w:rFonts w:hint="eastAsia" w:ascii="宋体" w:hAnsi="宋体"/>
              </w:rPr>
              <w:t>4) 连接方式：</w:t>
            </w:r>
          </w:p>
          <w:p>
            <w:pPr>
              <w:ind w:firstLine="420" w:firstLineChars="200"/>
              <w:rPr>
                <w:rFonts w:ascii="宋体" w:hAnsi="宋体"/>
              </w:rPr>
            </w:pPr>
            <w:r>
              <w:rPr>
                <w:rFonts w:ascii="宋体" w:hAnsi="宋体"/>
              </w:rPr>
              <w:t>①</w:t>
            </w:r>
            <w:r>
              <w:rPr>
                <w:rFonts w:hint="eastAsia" w:ascii="宋体" w:hAnsi="宋体"/>
              </w:rPr>
              <w:t xml:space="preserve"> 管径&lt;DN100采用螺纹连接，</w:t>
            </w:r>
          </w:p>
          <w:p>
            <w:pPr>
              <w:ind w:firstLine="420" w:firstLineChars="200"/>
              <w:rPr>
                <w:rFonts w:ascii="宋体" w:hAnsi="宋体"/>
              </w:rPr>
            </w:pPr>
            <w:r>
              <w:rPr>
                <w:rFonts w:hint="eastAsia" w:ascii="宋体" w:hAnsi="宋体"/>
              </w:rPr>
              <w:t>② 管径≥DN100采用卡箍连接。</w:t>
            </w:r>
          </w:p>
          <w:p>
            <w:pPr>
              <w:ind w:left="-420" w:leftChars="-200" w:firstLine="420" w:firstLineChars="200"/>
              <w:rPr>
                <w:rFonts w:ascii="宋体" w:hAnsi="宋体"/>
              </w:rPr>
            </w:pPr>
            <w:r>
              <w:rPr>
                <w:rFonts w:hint="eastAsia" w:ascii="宋体" w:hAnsi="宋体"/>
              </w:rPr>
              <w:t>5）管件根据设计压力要求选用热镀锌的可锻铸铁、球墨铸铁或</w:t>
            </w:r>
          </w:p>
          <w:p>
            <w:pPr>
              <w:rPr>
                <w:rFonts w:ascii="宋体" w:hAnsi="宋体"/>
              </w:rPr>
            </w:pPr>
            <w:r>
              <w:rPr>
                <w:rFonts w:hint="eastAsia" w:ascii="宋体" w:hAnsi="宋体"/>
              </w:rPr>
              <w:t>无缝钢管件。</w:t>
            </w:r>
          </w:p>
          <w:p>
            <w:pPr>
              <w:rPr>
                <w:rFonts w:ascii="宋体" w:hAnsi="宋体"/>
              </w:rPr>
            </w:pPr>
            <w:r>
              <w:rPr>
                <w:rFonts w:hint="eastAsia"/>
                <w:b/>
                <w:szCs w:val="21"/>
              </w:rPr>
              <w:t>6）镀锌层重量应达到国标（500g / m</w:t>
            </w:r>
            <w:r>
              <w:rPr>
                <w:rFonts w:hint="eastAsia"/>
                <w:b/>
                <w:szCs w:val="21"/>
                <w:vertAlign w:val="superscript"/>
              </w:rPr>
              <w:t>2</w:t>
            </w:r>
            <w:r>
              <w:rPr>
                <w:rFonts w:hint="eastAsia"/>
                <w:b/>
                <w:szCs w:val="21"/>
              </w:rPr>
              <w:t>）的要求，并要求送检时进行检测。</w:t>
            </w:r>
          </w:p>
          <w:p>
            <w:pPr>
              <w:rPr>
                <w:rFonts w:ascii="宋体" w:hAnsi="宋体"/>
                <w:szCs w:val="21"/>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r>
              <w:rPr>
                <w:rFonts w:hint="eastAsia" w:ascii="宋体" w:hAnsi="宋体"/>
                <w:szCs w:val="21"/>
              </w:rPr>
              <w:t>9.</w:t>
            </w:r>
          </w:p>
        </w:tc>
        <w:tc>
          <w:tcPr>
            <w:tcW w:w="966" w:type="dxa"/>
          </w:tcPr>
          <w:p>
            <w:r>
              <w:rPr>
                <w:rFonts w:hint="eastAsia"/>
              </w:rPr>
              <w:t>卡箍式排水铸铁管</w:t>
            </w:r>
          </w:p>
        </w:tc>
        <w:tc>
          <w:tcPr>
            <w:tcW w:w="5926" w:type="dxa"/>
            <w:vAlign w:val="center"/>
          </w:tcPr>
          <w:p>
            <w:pPr>
              <w:rPr>
                <w:rFonts w:ascii="宋体" w:hAnsi="宋体"/>
              </w:rPr>
            </w:pPr>
            <w:r>
              <w:rPr>
                <w:rFonts w:hint="eastAsia" w:ascii="宋体" w:hAnsi="宋体"/>
              </w:rPr>
              <w:t>一、一般要求：</w:t>
            </w:r>
          </w:p>
          <w:p>
            <w:pPr>
              <w:rPr>
                <w:rFonts w:ascii="宋体" w:hAnsi="宋体"/>
              </w:rPr>
            </w:pPr>
            <w:r>
              <w:rPr>
                <w:rFonts w:hint="eastAsia" w:ascii="宋体" w:hAnsi="宋体"/>
              </w:rPr>
              <w:t>1）制造商应通过ISO9001：2000质量管理体系认证。</w:t>
            </w:r>
          </w:p>
          <w:p>
            <w:pPr>
              <w:rPr>
                <w:rFonts w:ascii="宋体" w:hAnsi="宋体"/>
              </w:rPr>
            </w:pPr>
            <w:r>
              <w:rPr>
                <w:rFonts w:hint="eastAsia" w:ascii="宋体" w:hAnsi="宋体"/>
              </w:rPr>
              <w:t>2）制造商注册资本：不少于2000万人民币。</w:t>
            </w:r>
          </w:p>
          <w:p>
            <w:pPr>
              <w:rPr>
                <w:rFonts w:ascii="宋体" w:hAnsi="宋体"/>
              </w:rPr>
            </w:pPr>
            <w:r>
              <w:rPr>
                <w:rFonts w:hint="eastAsia" w:ascii="宋体" w:hAnsi="宋体"/>
              </w:rPr>
              <w:t>3）制造商在深圳地区设有完善的售后服务机构。</w:t>
            </w:r>
          </w:p>
          <w:p>
            <w:pPr>
              <w:rPr>
                <w:rFonts w:ascii="宋体" w:hAnsi="宋体"/>
              </w:rPr>
            </w:pPr>
            <w:r>
              <w:rPr>
                <w:rFonts w:hint="eastAsia" w:ascii="宋体" w:hAnsi="宋体"/>
              </w:rPr>
              <w:t>4）产品应为国内知名品牌。</w:t>
            </w:r>
          </w:p>
          <w:p>
            <w:pPr>
              <w:rPr>
                <w:rFonts w:ascii="宋体" w:hAnsi="宋体"/>
              </w:rPr>
            </w:pPr>
            <w:r>
              <w:rPr>
                <w:rFonts w:hint="eastAsia" w:ascii="宋体" w:hAnsi="宋体"/>
              </w:rPr>
              <w:t>二、产品技术要求：</w:t>
            </w:r>
          </w:p>
          <w:p>
            <w:pPr>
              <w:rPr>
                <w:rFonts w:ascii="宋体" w:hAnsi="宋体"/>
              </w:rPr>
            </w:pPr>
            <w:r>
              <w:rPr>
                <w:rFonts w:ascii="宋体" w:hAnsi="宋体"/>
              </w:rPr>
              <w:t>1</w:t>
            </w:r>
            <w:r>
              <w:rPr>
                <w:rFonts w:hint="eastAsia" w:ascii="宋体" w:hAnsi="宋体"/>
              </w:rPr>
              <w:t>）</w:t>
            </w:r>
            <w:r>
              <w:rPr>
                <w:rFonts w:ascii="宋体" w:hAnsi="宋体"/>
              </w:rPr>
              <w:tab/>
            </w:r>
            <w:r>
              <w:rPr>
                <w:rFonts w:hint="eastAsia" w:ascii="宋体" w:hAnsi="宋体"/>
              </w:rPr>
              <w:t>管材和管件规格、加工质量等，应符合现行的国家或行业生产技术标准。</w:t>
            </w:r>
          </w:p>
          <w:p>
            <w:pPr>
              <w:rPr>
                <w:rFonts w:ascii="宋体" w:hAnsi="宋体"/>
              </w:rPr>
            </w:pPr>
            <w:r>
              <w:rPr>
                <w:rFonts w:ascii="宋体" w:hAnsi="宋体"/>
              </w:rPr>
              <w:t>2</w:t>
            </w:r>
            <w:r>
              <w:rPr>
                <w:rFonts w:hint="eastAsia" w:ascii="宋体" w:hAnsi="宋体"/>
              </w:rPr>
              <w:t>）</w:t>
            </w:r>
            <w:r>
              <w:rPr>
                <w:rFonts w:ascii="宋体" w:hAnsi="宋体"/>
              </w:rPr>
              <w:tab/>
            </w:r>
            <w:r>
              <w:rPr>
                <w:rFonts w:hint="eastAsia" w:ascii="宋体" w:hAnsi="宋体"/>
              </w:rPr>
              <w:t>采用不锈钢管卡箍连接方式。</w:t>
            </w:r>
          </w:p>
          <w:p>
            <w:pPr>
              <w:rPr>
                <w:rFonts w:ascii="宋体" w:hAnsi="宋体"/>
              </w:rPr>
            </w:pPr>
            <w:r>
              <w:rPr>
                <w:rFonts w:ascii="宋体" w:hAnsi="宋体"/>
              </w:rPr>
              <w:t>3</w:t>
            </w:r>
            <w:r>
              <w:rPr>
                <w:rFonts w:hint="eastAsia" w:ascii="宋体" w:hAnsi="宋体"/>
              </w:rPr>
              <w:t>）耐磨性好；内外壁光滑；有较好的抗冲击性。</w:t>
            </w:r>
          </w:p>
          <w:p>
            <w:pPr>
              <w:rPr>
                <w:rFonts w:ascii="宋体" w:hAnsi="宋体"/>
              </w:rPr>
            </w:pPr>
            <w:r>
              <w:rPr>
                <w:rFonts w:ascii="宋体" w:hAnsi="宋体"/>
              </w:rPr>
              <w:t>4</w:t>
            </w:r>
            <w:r>
              <w:rPr>
                <w:rFonts w:hint="eastAsia" w:ascii="宋体" w:hAnsi="宋体"/>
              </w:rPr>
              <w:t>）</w:t>
            </w:r>
            <w:r>
              <w:rPr>
                <w:rFonts w:ascii="宋体" w:hAnsi="宋体"/>
              </w:rPr>
              <w:tab/>
            </w:r>
            <w:r>
              <w:rPr>
                <w:rFonts w:hint="eastAsia" w:ascii="宋体" w:hAnsi="宋体"/>
              </w:rPr>
              <w:t>应由管材供应商配套提供管材、管件，专用机具和辅料。</w:t>
            </w:r>
          </w:p>
          <w:p>
            <w:pPr>
              <w:rPr>
                <w:rFonts w:ascii="宋体" w:hAnsi="宋体"/>
              </w:rPr>
            </w:pPr>
            <w:r>
              <w:rPr>
                <w:rFonts w:ascii="宋体" w:hAnsi="宋体"/>
              </w:rPr>
              <w:t>5</w:t>
            </w:r>
            <w:r>
              <w:rPr>
                <w:rFonts w:hint="eastAsia" w:ascii="宋体" w:hAnsi="宋体"/>
              </w:rPr>
              <w:t>）管材端口整齐，且端面应垂直于管材的轴线。</w:t>
            </w:r>
          </w:p>
          <w:p>
            <w:r>
              <w:t>6)</w:t>
            </w:r>
            <w:r>
              <w:rPr>
                <w:rFonts w:hint="eastAsia"/>
              </w:rPr>
              <w:t xml:space="preserve"> 管材外壁应标注品牌名称。</w:t>
            </w:r>
          </w:p>
          <w:p>
            <w:pPr>
              <w:rPr>
                <w:rFonts w:ascii="宋体" w:hAnsi="宋体"/>
              </w:rPr>
            </w:pPr>
          </w:p>
        </w:tc>
        <w:tc>
          <w:tcPr>
            <w:tcW w:w="997" w:type="dxa"/>
            <w:vAlign w:val="center"/>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10.</w:t>
            </w:r>
          </w:p>
        </w:tc>
        <w:tc>
          <w:tcPr>
            <w:tcW w:w="966" w:type="dxa"/>
          </w:tcPr>
          <w:p>
            <w:pPr>
              <w:jc w:val="center"/>
            </w:pPr>
            <w:r>
              <w:rPr>
                <w:rFonts w:hint="eastAsia" w:ascii="宋体" w:hAnsi="宋体"/>
              </w:rPr>
              <w:t>检查井井盖及井座</w:t>
            </w:r>
          </w:p>
        </w:tc>
        <w:tc>
          <w:tcPr>
            <w:tcW w:w="5926" w:type="dxa"/>
          </w:tcPr>
          <w:p>
            <w:pPr>
              <w:rPr>
                <w:rFonts w:ascii="宋体" w:hAnsi="宋体"/>
              </w:rPr>
            </w:pPr>
            <w:r>
              <w:rPr>
                <w:rFonts w:hint="eastAsia" w:ascii="宋体" w:hAnsi="宋体"/>
              </w:rPr>
              <w:t>一、商务要求：</w:t>
            </w:r>
          </w:p>
          <w:p>
            <w:pPr>
              <w:numPr>
                <w:ilvl w:val="0"/>
                <w:numId w:val="27"/>
              </w:numPr>
              <w:tabs>
                <w:tab w:val="left" w:pos="420"/>
                <w:tab w:val="clear" w:pos="360"/>
              </w:tabs>
              <w:ind w:left="420" w:hanging="420"/>
              <w:rPr>
                <w:rFonts w:ascii="宋体" w:hAnsi="宋体"/>
              </w:rPr>
            </w:pPr>
            <w:r>
              <w:rPr>
                <w:rFonts w:hint="eastAsia" w:ascii="宋体" w:hAnsi="宋体"/>
              </w:rPr>
              <w:t>制造商应通过ISO9001：2000质量管理体系认证。</w:t>
            </w:r>
          </w:p>
          <w:p>
            <w:pPr>
              <w:numPr>
                <w:ilvl w:val="0"/>
                <w:numId w:val="27"/>
              </w:numPr>
              <w:tabs>
                <w:tab w:val="left" w:pos="420"/>
                <w:tab w:val="clear" w:pos="360"/>
              </w:tabs>
              <w:ind w:left="420" w:hanging="420"/>
              <w:rPr>
                <w:rFonts w:ascii="宋体" w:hAnsi="宋体"/>
              </w:rPr>
            </w:pPr>
            <w:r>
              <w:rPr>
                <w:rFonts w:hint="eastAsia" w:ascii="宋体" w:hAnsi="宋体"/>
              </w:rPr>
              <w:t>制造商注册资本：不少于500万人民币。</w:t>
            </w:r>
          </w:p>
          <w:p>
            <w:pPr>
              <w:numPr>
                <w:ilvl w:val="0"/>
                <w:numId w:val="27"/>
              </w:numPr>
              <w:tabs>
                <w:tab w:val="left" w:pos="420"/>
                <w:tab w:val="clear" w:pos="360"/>
              </w:tabs>
              <w:ind w:left="420" w:hanging="420"/>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28"/>
              </w:numPr>
              <w:tabs>
                <w:tab w:val="left" w:pos="420"/>
              </w:tabs>
              <w:rPr>
                <w:rFonts w:ascii="宋体" w:hAnsi="宋体"/>
              </w:rPr>
            </w:pPr>
            <w:r>
              <w:rPr>
                <w:rFonts w:hint="eastAsia" w:ascii="宋体" w:hAnsi="宋体"/>
              </w:rPr>
              <w:t>符合</w:t>
            </w:r>
            <w:r>
              <w:rPr>
                <w:rFonts w:ascii="宋体" w:hAnsi="宋体"/>
              </w:rPr>
              <w:t>CJ/T 3012-93《铸铁检查井盖》</w:t>
            </w:r>
            <w:r>
              <w:rPr>
                <w:rFonts w:hint="eastAsia" w:ascii="宋体" w:hAnsi="宋体"/>
              </w:rPr>
              <w:t>的要求。</w:t>
            </w:r>
          </w:p>
          <w:p>
            <w:pPr>
              <w:numPr>
                <w:ilvl w:val="0"/>
                <w:numId w:val="28"/>
              </w:numPr>
              <w:tabs>
                <w:tab w:val="left" w:pos="420"/>
              </w:tabs>
              <w:rPr>
                <w:rFonts w:ascii="宋体" w:hAnsi="宋体"/>
              </w:rPr>
            </w:pPr>
            <w:r>
              <w:rPr>
                <w:rFonts w:hint="eastAsia" w:ascii="宋体" w:hAnsi="宋体"/>
              </w:rPr>
              <w:t>在机动车道路范围内的给水阀门井及排水检查井采用重型球墨铸铁井盖； 在人行道或绿化带范围内的给水阀门井及排水检查井均采用轻型球墨铸铁井盖。</w:t>
            </w:r>
          </w:p>
          <w:p>
            <w:pPr>
              <w:rPr>
                <w:rFonts w:ascii="宋体" w:hAnsi="宋体"/>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11.</w:t>
            </w:r>
          </w:p>
        </w:tc>
        <w:tc>
          <w:tcPr>
            <w:tcW w:w="966" w:type="dxa"/>
          </w:tcPr>
          <w:p>
            <w:pPr>
              <w:jc w:val="center"/>
            </w:pPr>
            <w:r>
              <w:rPr>
                <w:rFonts w:hint="eastAsia"/>
              </w:rPr>
              <w:t>阀门</w:t>
            </w:r>
          </w:p>
          <w:p>
            <w:pPr>
              <w:rPr>
                <w:rFonts w:ascii="宋体" w:hAnsi="宋体"/>
              </w:rPr>
            </w:pPr>
            <w:r>
              <w:rPr>
                <w:rFonts w:hint="eastAsia"/>
              </w:rPr>
              <w:t>（闸阀、蝶阀、截止阀、（消声）止回阀、减压阀、自动排气阀、多动能水力控制阀、Y型管道过滤器、倒流防止器等）</w:t>
            </w:r>
          </w:p>
        </w:tc>
        <w:tc>
          <w:tcPr>
            <w:tcW w:w="5926" w:type="dxa"/>
          </w:tcPr>
          <w:p>
            <w:pPr>
              <w:rPr>
                <w:rFonts w:ascii="宋体" w:hAnsi="宋体"/>
              </w:rPr>
            </w:pPr>
            <w:r>
              <w:rPr>
                <w:rFonts w:hint="eastAsia" w:ascii="宋体" w:hAnsi="宋体"/>
              </w:rPr>
              <w:t>一、商务要求：</w:t>
            </w:r>
          </w:p>
          <w:p>
            <w:pPr>
              <w:rPr>
                <w:rFonts w:ascii="宋体" w:hAnsi="宋体"/>
              </w:rPr>
            </w:pPr>
            <w:r>
              <w:rPr>
                <w:rFonts w:hint="eastAsia" w:ascii="宋体" w:hAnsi="宋体"/>
              </w:rPr>
              <w:t>1）制造商注册资本：不少于3000万人民币。</w:t>
            </w:r>
          </w:p>
          <w:p>
            <w:pPr>
              <w:spacing w:line="360" w:lineRule="auto"/>
              <w:rPr>
                <w:rFonts w:ascii="宋体" w:hAnsi="宋体"/>
              </w:rPr>
            </w:pPr>
            <w:r>
              <w:rPr>
                <w:rFonts w:hint="eastAsia" w:ascii="宋体" w:hAnsi="宋体"/>
              </w:rPr>
              <w:t>2）制造商应通过ISO9001：2000质量管理体系认证及ISO14001环境管理体系认证。</w:t>
            </w:r>
          </w:p>
          <w:p>
            <w:pPr>
              <w:rPr>
                <w:rFonts w:ascii="宋体" w:hAnsi="宋体"/>
              </w:rPr>
            </w:pPr>
            <w:r>
              <w:rPr>
                <w:rFonts w:hint="eastAsia" w:ascii="宋体" w:hAnsi="宋体"/>
              </w:rPr>
              <w:t>3）制造商在深圳地区设有完善的售后服务机构。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29"/>
              </w:numPr>
              <w:rPr>
                <w:rFonts w:ascii="宋体" w:hAnsi="宋体"/>
              </w:rPr>
            </w:pPr>
            <w:r>
              <w:rPr>
                <w:rFonts w:hint="eastAsia" w:ascii="宋体" w:hAnsi="宋体"/>
              </w:rPr>
              <w:t>用于生活给水、热水管路上，阀门选型、压力等级应符合国家有关规范及设计要求。</w:t>
            </w:r>
          </w:p>
          <w:p>
            <w:pPr>
              <w:numPr>
                <w:ilvl w:val="0"/>
                <w:numId w:val="29"/>
              </w:numPr>
              <w:rPr>
                <w:rFonts w:ascii="宋体" w:hAnsi="宋体"/>
              </w:rPr>
            </w:pPr>
            <w:r>
              <w:rPr>
                <w:rFonts w:hint="eastAsia" w:ascii="宋体" w:hAnsi="宋体"/>
              </w:rPr>
              <w:t>符合现行的国家或行业的生产技术标准。</w:t>
            </w:r>
          </w:p>
          <w:p>
            <w:pPr>
              <w:numPr>
                <w:ilvl w:val="0"/>
                <w:numId w:val="29"/>
              </w:numPr>
              <w:rPr>
                <w:rFonts w:ascii="宋体" w:hAnsi="宋体"/>
              </w:rPr>
            </w:pPr>
            <w:r>
              <w:rPr>
                <w:rFonts w:hint="eastAsia" w:ascii="宋体" w:hAnsi="宋体"/>
              </w:rPr>
              <w:t>一般情况下，口径</w:t>
            </w:r>
            <w:r>
              <w:rPr>
                <w:rFonts w:ascii="Trebuchet MS" w:hAnsi="Trebuchet MS"/>
                <w:sz w:val="32"/>
                <w:szCs w:val="32"/>
              </w:rPr>
              <w:t>≤</w:t>
            </w:r>
            <w:r>
              <w:rPr>
                <w:rFonts w:ascii="宋体" w:hAnsi="宋体"/>
                <w:szCs w:val="21"/>
              </w:rPr>
              <w:t>50</w:t>
            </w:r>
            <w:r>
              <w:rPr>
                <w:rFonts w:hint="eastAsia" w:ascii="宋体" w:hAnsi="宋体"/>
              </w:rPr>
              <w:t>毫米的阀门采用铜阀；口径</w:t>
            </w:r>
            <w:r>
              <w:rPr>
                <w:rFonts w:ascii="Trebuchet MS" w:hAnsi="Trebuchet MS"/>
                <w:sz w:val="32"/>
                <w:szCs w:val="32"/>
              </w:rPr>
              <w:t>&gt;</w:t>
            </w:r>
            <w:r>
              <w:rPr>
                <w:rFonts w:ascii="宋体" w:hAnsi="宋体"/>
                <w:szCs w:val="21"/>
              </w:rPr>
              <w:t>50</w:t>
            </w:r>
            <w:r>
              <w:rPr>
                <w:rFonts w:hint="eastAsia" w:ascii="宋体" w:hAnsi="宋体"/>
              </w:rPr>
              <w:t>毫米的阀门采用球墨铸铁阀。</w:t>
            </w:r>
          </w:p>
          <w:p>
            <w:pPr>
              <w:numPr>
                <w:ilvl w:val="0"/>
                <w:numId w:val="29"/>
              </w:numPr>
              <w:rPr>
                <w:rFonts w:ascii="宋体" w:hAnsi="宋体"/>
              </w:rPr>
            </w:pPr>
            <w:r>
              <w:rPr>
                <w:rFonts w:hint="eastAsia" w:ascii="宋体" w:hAnsi="宋体"/>
              </w:rPr>
              <w:t>弹性座封闸阀材质要求：</w:t>
            </w:r>
          </w:p>
          <w:p>
            <w:pPr>
              <w:ind w:left="420"/>
              <w:rPr>
                <w:rFonts w:ascii="宋体" w:hAnsi="宋体"/>
              </w:rPr>
            </w:pPr>
            <w:r>
              <w:rPr>
                <w:rFonts w:hint="eastAsia" w:ascii="宋体" w:hAnsi="宋体"/>
              </w:rPr>
              <w:t>①阀体、阀盖采用球墨铸铁，表面采用无毒环保的食品级环氧树脂喷涂。</w:t>
            </w:r>
          </w:p>
          <w:p>
            <w:pPr>
              <w:ind w:left="420"/>
              <w:rPr>
                <w:rFonts w:ascii="宋体" w:hAnsi="宋体"/>
              </w:rPr>
            </w:pPr>
            <w:r>
              <w:rPr>
                <w:rFonts w:hint="eastAsia" w:ascii="宋体" w:hAnsi="宋体"/>
              </w:rPr>
              <w:t>②闸板骨架为球墨铸铁整体铸造，骨架内外表面整体包胶，包胶材质应为无毒环保的食品级橡胶，用于热水系统的阀门包胶材质采用三元乙丙橡胶。</w:t>
            </w:r>
          </w:p>
          <w:p>
            <w:pPr>
              <w:ind w:left="630" w:leftChars="200" w:hanging="210" w:hangingChars="100"/>
              <w:rPr>
                <w:rFonts w:ascii="宋体" w:hAnsi="宋体"/>
              </w:rPr>
            </w:pPr>
            <w:r>
              <w:rPr>
                <w:rFonts w:hint="eastAsia" w:ascii="宋体" w:hAnsi="宋体"/>
              </w:rPr>
              <w:t>③阀杆采用不锈钢材料。阀杆螺母采用铜合金，其硬度和强度均大于阀杆。</w:t>
            </w:r>
          </w:p>
          <w:p>
            <w:pPr>
              <w:ind w:left="630" w:leftChars="200" w:hanging="210" w:hangingChars="100"/>
              <w:rPr>
                <w:rFonts w:ascii="宋体" w:hAnsi="宋体"/>
              </w:rPr>
            </w:pPr>
            <w:r>
              <w:rPr>
                <w:rFonts w:hint="eastAsia" w:ascii="宋体" w:hAnsi="宋体"/>
              </w:rPr>
              <w:t>④密封材料采用无毒环保的食品级橡胶，热水系统阀门密封采用三元乙丙。</w:t>
            </w:r>
          </w:p>
          <w:p>
            <w:pPr>
              <w:numPr>
                <w:ilvl w:val="0"/>
                <w:numId w:val="29"/>
              </w:numPr>
              <w:rPr>
                <w:rFonts w:ascii="宋体" w:hAnsi="宋体"/>
              </w:rPr>
            </w:pPr>
            <w:r>
              <w:rPr>
                <w:rFonts w:hint="eastAsia" w:ascii="宋体" w:hAnsi="宋体"/>
              </w:rPr>
              <w:t>蝶阀材质及型式要求：</w:t>
            </w:r>
          </w:p>
          <w:p>
            <w:pPr>
              <w:numPr>
                <w:ilvl w:val="0"/>
                <w:numId w:val="30"/>
              </w:numPr>
              <w:tabs>
                <w:tab w:val="left" w:pos="780"/>
                <w:tab w:val="clear" w:pos="1260"/>
              </w:tabs>
              <w:ind w:left="780" w:hanging="360"/>
              <w:rPr>
                <w:rFonts w:ascii="宋体" w:hAnsi="宋体"/>
              </w:rPr>
            </w:pPr>
            <w:r>
              <w:rPr>
                <w:rFonts w:hint="eastAsia" w:ascii="宋体" w:hAnsi="宋体"/>
              </w:rPr>
              <w:t>阀体采用球墨铸铁，表面采用无毒环保的食品级环氧树脂喷涂。</w:t>
            </w:r>
          </w:p>
          <w:p>
            <w:pPr>
              <w:numPr>
                <w:ilvl w:val="0"/>
                <w:numId w:val="30"/>
              </w:numPr>
              <w:tabs>
                <w:tab w:val="left" w:pos="780"/>
                <w:tab w:val="clear" w:pos="1260"/>
              </w:tabs>
              <w:ind w:left="780" w:hanging="360"/>
              <w:rPr>
                <w:rFonts w:ascii="宋体" w:hAnsi="宋体"/>
              </w:rPr>
            </w:pPr>
            <w:r>
              <w:rPr>
                <w:rFonts w:hint="eastAsia" w:ascii="宋体" w:hAnsi="宋体"/>
              </w:rPr>
              <w:t>蝶板采用不锈钢材料或球墨铸铁整体包胶。</w:t>
            </w:r>
          </w:p>
          <w:p>
            <w:pPr>
              <w:ind w:firstLine="420" w:firstLineChars="200"/>
              <w:rPr>
                <w:rFonts w:ascii="宋体" w:hAnsi="宋体"/>
              </w:rPr>
            </w:pPr>
            <w:r>
              <w:rPr>
                <w:rFonts w:hint="eastAsia" w:ascii="宋体" w:hAnsi="宋体"/>
              </w:rPr>
              <w:t>③阀轴采用不锈钢材料。</w:t>
            </w:r>
          </w:p>
          <w:p>
            <w:pPr>
              <w:ind w:firstLine="420" w:firstLineChars="200"/>
              <w:rPr>
                <w:rFonts w:ascii="宋体" w:hAnsi="宋体"/>
              </w:rPr>
            </w:pPr>
            <w:r>
              <w:rPr>
                <w:rFonts w:hint="eastAsia" w:ascii="宋体" w:hAnsi="宋体"/>
              </w:rPr>
              <w:t>④密封材料采用丁晴橡胶或三元乙丙橡胶。</w:t>
            </w:r>
          </w:p>
          <w:p>
            <w:pPr>
              <w:ind w:firstLine="420" w:firstLineChars="200"/>
              <w:rPr>
                <w:rFonts w:ascii="宋体" w:hAnsi="宋体"/>
              </w:rPr>
            </w:pPr>
            <w:r>
              <w:rPr>
                <w:rFonts w:hint="eastAsia" w:ascii="宋体" w:hAnsi="宋体"/>
              </w:rPr>
              <w:t>⑤</w:t>
            </w:r>
            <w:r>
              <w:rPr>
                <w:rFonts w:ascii="宋体" w:hAnsi="宋体"/>
              </w:rPr>
              <w:t>DNl00</w:t>
            </w:r>
            <w:r>
              <w:rPr>
                <w:rFonts w:hint="eastAsia" w:ascii="宋体" w:hAnsi="宋体"/>
              </w:rPr>
              <w:t>以下采用手柄式，≥</w:t>
            </w:r>
            <w:r>
              <w:rPr>
                <w:rFonts w:ascii="宋体" w:hAnsi="宋体"/>
              </w:rPr>
              <w:t>DNl00</w:t>
            </w:r>
            <w:r>
              <w:rPr>
                <w:rFonts w:hint="eastAsia" w:ascii="宋体" w:hAnsi="宋体"/>
              </w:rPr>
              <w:t>采用涡轮式。</w:t>
            </w:r>
          </w:p>
          <w:p>
            <w:pPr>
              <w:rPr>
                <w:rFonts w:ascii="宋体" w:hAnsi="宋体"/>
              </w:rPr>
            </w:pPr>
            <w:r>
              <w:rPr>
                <w:rFonts w:hint="eastAsia" w:ascii="宋体" w:hAnsi="宋体"/>
              </w:rPr>
              <w:t>6）橡胶板止回阀材质要求：</w:t>
            </w:r>
          </w:p>
          <w:p>
            <w:pPr>
              <w:ind w:left="420"/>
              <w:rPr>
                <w:rFonts w:ascii="宋体" w:hAnsi="宋体"/>
              </w:rPr>
            </w:pPr>
            <w:r>
              <w:rPr>
                <w:rFonts w:hint="eastAsia" w:ascii="宋体" w:hAnsi="宋体"/>
              </w:rPr>
              <w:t>①阀体、阀盖采用球墨铸铁，表面采用无毒环保的食品级环氧树脂喷涂。</w:t>
            </w:r>
          </w:p>
          <w:p>
            <w:pPr>
              <w:ind w:firstLine="420" w:firstLineChars="200"/>
              <w:rPr>
                <w:rFonts w:ascii="宋体" w:hAnsi="宋体"/>
              </w:rPr>
            </w:pPr>
            <w:r>
              <w:rPr>
                <w:rFonts w:hint="eastAsia" w:ascii="宋体" w:hAnsi="宋体"/>
              </w:rPr>
              <w:t>②阀瓣采用碳钢+强化尼龙纤维+丁晴橡胶一体成型，全被覆式包胶。</w:t>
            </w:r>
          </w:p>
          <w:p>
            <w:pPr>
              <w:rPr>
                <w:rFonts w:ascii="宋体" w:hAnsi="宋体"/>
              </w:rPr>
            </w:pPr>
            <w:r>
              <w:rPr>
                <w:rFonts w:hint="eastAsia" w:ascii="宋体" w:hAnsi="宋体"/>
              </w:rPr>
              <w:t>7）水力控制阀材质要求：</w:t>
            </w:r>
          </w:p>
          <w:p>
            <w:pPr>
              <w:ind w:firstLine="420" w:firstLineChars="200"/>
              <w:rPr>
                <w:rFonts w:ascii="宋体" w:hAnsi="宋体"/>
              </w:rPr>
            </w:pPr>
            <w:r>
              <w:rPr>
                <w:rFonts w:hint="eastAsia" w:ascii="宋体" w:hAnsi="宋体"/>
              </w:rPr>
              <w:t>①阀体、阀盖采用球墨铸铁，表面采用无毒环保的食品级环氧树脂喷涂。</w:t>
            </w:r>
          </w:p>
          <w:p>
            <w:pPr>
              <w:ind w:firstLine="420" w:firstLineChars="200"/>
              <w:rPr>
                <w:rFonts w:ascii="宋体" w:hAnsi="宋体"/>
              </w:rPr>
            </w:pPr>
            <w:r>
              <w:rPr>
                <w:rFonts w:hint="eastAsia" w:ascii="宋体" w:hAnsi="宋体"/>
              </w:rPr>
              <w:t>②阀杆采用不锈钢材料。</w:t>
            </w:r>
          </w:p>
          <w:p>
            <w:pPr>
              <w:ind w:firstLine="420" w:firstLineChars="200"/>
              <w:rPr>
                <w:rFonts w:ascii="宋体" w:hAnsi="宋体"/>
              </w:rPr>
            </w:pPr>
            <w:r>
              <w:rPr>
                <w:rFonts w:hint="eastAsia" w:ascii="宋体" w:hAnsi="宋体"/>
              </w:rPr>
              <w:t>③膜片采用丁晴尼龙强化橡胶或三元乙丙尼龙强化橡胶。</w:t>
            </w:r>
          </w:p>
          <w:p>
            <w:pPr>
              <w:ind w:left="420" w:leftChars="200"/>
              <w:rPr>
                <w:rFonts w:ascii="宋体" w:hAnsi="宋体"/>
              </w:rPr>
            </w:pPr>
            <w:r>
              <w:rPr>
                <w:rFonts w:hint="eastAsia" w:ascii="宋体" w:hAnsi="宋体"/>
              </w:rPr>
              <w:t>④密封材料采用无毒环保的食品级橡胶，用于热水系统采用三元乙丙。</w:t>
            </w:r>
          </w:p>
          <w:p>
            <w:pPr>
              <w:ind w:left="420" w:leftChars="200"/>
              <w:rPr>
                <w:rFonts w:ascii="宋体" w:hAnsi="宋体"/>
              </w:rPr>
            </w:pPr>
            <w:r>
              <w:rPr>
                <w:rFonts w:hint="eastAsia" w:ascii="宋体" w:hAnsi="宋体"/>
              </w:rPr>
              <w:t>⑤弹簧、阀座、压板、阀盘采用铜合金或不锈钢。</w:t>
            </w:r>
          </w:p>
          <w:p>
            <w:pPr>
              <w:rPr>
                <w:rFonts w:ascii="宋体" w:hAnsi="宋体"/>
              </w:rPr>
            </w:pPr>
            <w:r>
              <w:rPr>
                <w:rFonts w:hint="eastAsia" w:ascii="宋体" w:hAnsi="宋体"/>
              </w:rPr>
              <w:t>8)</w:t>
            </w:r>
            <w:r>
              <w:rPr>
                <w:rFonts w:hint="eastAsia"/>
              </w:rPr>
              <w:t xml:space="preserve"> 倒流防止器材质及</w:t>
            </w:r>
            <w:r>
              <w:rPr>
                <w:rFonts w:hint="eastAsia" w:ascii="宋体" w:hAnsi="宋体"/>
              </w:rPr>
              <w:t>型式要求：</w:t>
            </w:r>
          </w:p>
          <w:p>
            <w:pPr>
              <w:ind w:firstLine="420" w:firstLineChars="200"/>
              <w:rPr>
                <w:rFonts w:ascii="宋体" w:hAnsi="宋体"/>
              </w:rPr>
            </w:pPr>
            <w:r>
              <w:rPr>
                <w:rFonts w:hint="eastAsia" w:ascii="宋体" w:hAnsi="宋体"/>
              </w:rPr>
              <w:t>①由</w:t>
            </w:r>
            <w:r>
              <w:t>双止回</w:t>
            </w:r>
            <w:r>
              <w:rPr>
                <w:rFonts w:hint="eastAsia"/>
              </w:rPr>
              <w:t>阀</w:t>
            </w:r>
            <w:r>
              <w:t>加</w:t>
            </w:r>
            <w:r>
              <w:rPr>
                <w:rFonts w:hint="eastAsia"/>
              </w:rPr>
              <w:t>泄水阀组成</w:t>
            </w:r>
            <w:r>
              <w:t>，彻底防止任何工况下的倒流污染</w:t>
            </w:r>
            <w:r>
              <w:rPr>
                <w:rFonts w:hint="eastAsia"/>
              </w:rPr>
              <w:t>。</w:t>
            </w:r>
          </w:p>
          <w:p>
            <w:pPr>
              <w:ind w:firstLine="420" w:firstLineChars="200"/>
              <w:rPr>
                <w:rFonts w:ascii="宋体" w:hAnsi="宋体"/>
              </w:rPr>
            </w:pPr>
            <w:r>
              <w:rPr>
                <w:rFonts w:hint="eastAsia" w:ascii="宋体" w:hAnsi="宋体"/>
              </w:rPr>
              <w:t>②阀体、阀盖采用球墨铸铁，表面采用无毒环保的食品级环氧树脂喷涂。阀杆采用不锈钢材料。</w:t>
            </w:r>
          </w:p>
          <w:p>
            <w:pPr>
              <w:ind w:firstLine="420" w:firstLineChars="200"/>
              <w:rPr>
                <w:rFonts w:ascii="宋体" w:hAnsi="宋体"/>
              </w:rPr>
            </w:pPr>
            <w:r>
              <w:rPr>
                <w:rFonts w:hint="eastAsia" w:ascii="宋体" w:hAnsi="宋体"/>
              </w:rPr>
              <w:t>③膜片采用丁晴尼龙强化橡胶或三元乙丙尼龙强化橡胶。</w:t>
            </w:r>
          </w:p>
          <w:p>
            <w:pPr>
              <w:ind w:left="420" w:leftChars="200"/>
              <w:rPr>
                <w:rFonts w:ascii="宋体" w:hAnsi="宋体"/>
              </w:rPr>
            </w:pPr>
            <w:r>
              <w:rPr>
                <w:rFonts w:hint="eastAsia" w:ascii="宋体" w:hAnsi="宋体"/>
              </w:rPr>
              <w:t>④密封材料采用无毒环保的食品级橡胶，用于热水系统采用三元乙丙。</w:t>
            </w:r>
          </w:p>
          <w:p>
            <w:pPr>
              <w:rPr>
                <w:rFonts w:ascii="宋体" w:hAnsi="宋体"/>
              </w:rPr>
            </w:pPr>
            <w:r>
              <w:rPr>
                <w:rFonts w:hint="eastAsia" w:ascii="宋体" w:hAnsi="宋体"/>
              </w:rPr>
              <w:t>9）铜阀材质要求：</w:t>
            </w:r>
          </w:p>
          <w:p>
            <w:pPr>
              <w:ind w:left="420"/>
              <w:rPr>
                <w:rFonts w:ascii="宋体" w:hAnsi="宋体"/>
              </w:rPr>
            </w:pPr>
            <w:r>
              <w:rPr>
                <w:rFonts w:hint="eastAsia" w:ascii="宋体" w:hAnsi="宋体"/>
              </w:rPr>
              <w:t>①阀体、阀盖、阀杆、阀瓣全部采用黄铜材质。</w:t>
            </w:r>
          </w:p>
          <w:p>
            <w:pPr>
              <w:ind w:left="420"/>
              <w:rPr>
                <w:rFonts w:ascii="宋体" w:hAnsi="宋体"/>
              </w:rPr>
            </w:pPr>
            <w:r>
              <w:rPr>
                <w:rFonts w:hint="eastAsia" w:ascii="宋体" w:hAnsi="宋体"/>
              </w:rPr>
              <w:t>②填料采用聚四氟乙烯。</w:t>
            </w:r>
          </w:p>
          <w:p>
            <w:pPr>
              <w:rPr>
                <w:rFonts w:ascii="宋体" w:hAnsi="宋体"/>
              </w:rPr>
            </w:pPr>
            <w:r>
              <w:rPr>
                <w:rFonts w:hint="eastAsia" w:ascii="宋体" w:hAnsi="宋体"/>
              </w:rPr>
              <w:t>10）对阀门标牌的要求：</w:t>
            </w:r>
          </w:p>
          <w:p>
            <w:pPr>
              <w:rPr>
                <w:rFonts w:ascii="宋体" w:hAnsi="宋体"/>
              </w:rPr>
            </w:pPr>
            <w:r>
              <w:rPr>
                <w:rFonts w:hint="eastAsia" w:ascii="宋体" w:hAnsi="宋体"/>
              </w:rPr>
              <w:t>阀门厂应给每个阀门一个固定的编号，其编号和阀门型号、口径、公称压力、厂名、生产日期等阀门标牌内容一起固定在阀体上。</w:t>
            </w: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12.</w:t>
            </w:r>
          </w:p>
        </w:tc>
        <w:tc>
          <w:tcPr>
            <w:tcW w:w="966" w:type="dxa"/>
          </w:tcPr>
          <w:p>
            <w:pPr>
              <w:rPr>
                <w:rFonts w:ascii="宋体" w:hAnsi="宋体"/>
              </w:rPr>
            </w:pPr>
            <w:r>
              <w:rPr>
                <w:rFonts w:hint="eastAsia" w:ascii="宋体" w:hAnsi="宋体"/>
              </w:rPr>
              <w:t>水 表</w:t>
            </w:r>
          </w:p>
        </w:tc>
        <w:tc>
          <w:tcPr>
            <w:tcW w:w="5926" w:type="dxa"/>
          </w:tcPr>
          <w:p>
            <w:pPr>
              <w:rPr>
                <w:rFonts w:ascii="宋体" w:hAnsi="宋体"/>
              </w:rPr>
            </w:pPr>
            <w:r>
              <w:rPr>
                <w:rFonts w:hint="eastAsia" w:ascii="宋体" w:hAnsi="宋体"/>
              </w:rPr>
              <w:t>一、商务要求：</w:t>
            </w:r>
          </w:p>
          <w:p>
            <w:pPr>
              <w:rPr>
                <w:rFonts w:ascii="宋体" w:hAnsi="宋体"/>
              </w:rPr>
            </w:pPr>
            <w:r>
              <w:rPr>
                <w:rFonts w:hint="eastAsia" w:ascii="宋体" w:hAnsi="宋体"/>
              </w:rPr>
              <w:t xml:space="preserve">1） 制造商应通过ISO9001：2000质量管理体系认证。                   </w:t>
            </w:r>
          </w:p>
          <w:p>
            <w:pPr>
              <w:rPr>
                <w:rFonts w:ascii="宋体" w:hAnsi="宋体"/>
              </w:rPr>
            </w:pPr>
            <w:r>
              <w:rPr>
                <w:rFonts w:hint="eastAsia" w:ascii="宋体" w:hAnsi="宋体"/>
              </w:rPr>
              <w:t>2） 制造商注册资本：不少于1000万人民币。</w:t>
            </w:r>
          </w:p>
          <w:p>
            <w:pPr>
              <w:rPr>
                <w:rFonts w:ascii="宋体" w:hAnsi="宋体"/>
              </w:rPr>
            </w:pPr>
            <w:r>
              <w:rPr>
                <w:rFonts w:hint="eastAsia" w:ascii="宋体" w:hAnsi="宋体"/>
              </w:rPr>
              <w:t xml:space="preserve">3） 产品为国内知名品牌。并须通过主管部门的计量合格认证。  </w:t>
            </w:r>
          </w:p>
          <w:p>
            <w:pPr>
              <w:rPr>
                <w:rFonts w:ascii="宋体" w:hAnsi="宋体"/>
              </w:rPr>
            </w:pPr>
            <w:r>
              <w:rPr>
                <w:rFonts w:hint="eastAsia" w:ascii="宋体" w:hAnsi="宋体"/>
              </w:rPr>
              <w:t>4） 制造商在深圳地区设有完善的售后服务机构。</w:t>
            </w:r>
          </w:p>
          <w:p>
            <w:pPr>
              <w:rPr>
                <w:rFonts w:ascii="宋体" w:hAnsi="宋体"/>
              </w:rPr>
            </w:pPr>
            <w:r>
              <w:rPr>
                <w:rFonts w:hint="eastAsia" w:ascii="宋体" w:hAnsi="宋体"/>
              </w:rPr>
              <w:t>二、技术要求：</w:t>
            </w:r>
          </w:p>
          <w:p>
            <w:pPr>
              <w:rPr>
                <w:rFonts w:ascii="宋体" w:hAnsi="宋体"/>
              </w:rPr>
            </w:pPr>
            <w:r>
              <w:rPr>
                <w:rFonts w:hint="eastAsia" w:ascii="宋体" w:hAnsi="宋体"/>
              </w:rPr>
              <w:t>1) 用于给水管路上，水表选型、压力等级应符合国家有关规范及设计要求。</w:t>
            </w:r>
          </w:p>
          <w:p>
            <w:pPr>
              <w:rPr>
                <w:rFonts w:ascii="宋体" w:hAnsi="宋体"/>
              </w:rPr>
            </w:pPr>
            <w:r>
              <w:rPr>
                <w:rFonts w:hint="eastAsia" w:ascii="宋体" w:hAnsi="宋体"/>
              </w:rPr>
              <w:t>2） 符合现行的国家或行业的生产技术标准。</w:t>
            </w:r>
          </w:p>
          <w:p>
            <w:pPr>
              <w:rPr>
                <w:rFonts w:ascii="宋体" w:hAnsi="宋体"/>
              </w:rPr>
            </w:pPr>
            <w:r>
              <w:rPr>
                <w:rFonts w:hint="eastAsia" w:ascii="宋体" w:hAnsi="宋体"/>
              </w:rPr>
              <w:t>3） 水表外壳采用球墨铸铁，上盖采用青铜镶嵌玻璃；水表口径、水流方向应固定在阀体上。</w:t>
            </w:r>
          </w:p>
          <w:p>
            <w:pPr>
              <w:rPr>
                <w:rFonts w:ascii="宋体" w:hAnsi="宋体"/>
              </w:rPr>
            </w:pPr>
            <w:r>
              <w:rPr>
                <w:rFonts w:hint="eastAsia" w:ascii="宋体" w:hAnsi="宋体"/>
              </w:rPr>
              <w:t>4） 应有水表的型号、公称压力、厂名、生产日期等标牌内容。</w:t>
            </w:r>
          </w:p>
          <w:p>
            <w:pPr>
              <w:rPr>
                <w:rFonts w:ascii="宋体" w:hAnsi="宋体"/>
              </w:rPr>
            </w:pPr>
            <w:r>
              <w:rPr>
                <w:rFonts w:hint="eastAsia" w:ascii="宋体" w:hAnsi="宋体"/>
              </w:rPr>
              <w:t>5） 应符合深圳市水务部门的相关要求。</w:t>
            </w:r>
          </w:p>
          <w:p>
            <w:pPr>
              <w:rPr>
                <w:rFonts w:ascii="宋体" w:hAnsi="宋体"/>
              </w:rPr>
            </w:pPr>
            <w:r>
              <w:rPr>
                <w:rFonts w:hint="eastAsia" w:ascii="宋体" w:hAnsi="宋体"/>
              </w:rPr>
              <w:t>6） 具有计量检测中心的合格检测报告。</w:t>
            </w: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13.</w:t>
            </w:r>
          </w:p>
        </w:tc>
        <w:tc>
          <w:tcPr>
            <w:tcW w:w="966" w:type="dxa"/>
          </w:tcPr>
          <w:p>
            <w:pPr>
              <w:rPr>
                <w:rFonts w:ascii="宋体" w:hAnsi="宋体" w:cs="Arial"/>
                <w:szCs w:val="21"/>
              </w:rPr>
            </w:pPr>
            <w:r>
              <w:rPr>
                <w:rFonts w:hint="eastAsia" w:ascii="宋体" w:hAnsi="宋体"/>
              </w:rPr>
              <w:t>可曲挠橡胶接头、不锈钢软接头、不锈钢波纹补偿器、柔性防水套管、减震支吊架、减震器</w:t>
            </w:r>
          </w:p>
        </w:tc>
        <w:tc>
          <w:tcPr>
            <w:tcW w:w="5926" w:type="dxa"/>
            <w:vAlign w:val="center"/>
          </w:tcPr>
          <w:p>
            <w:pPr>
              <w:rPr>
                <w:rFonts w:ascii="宋体" w:hAnsi="宋体"/>
              </w:rPr>
            </w:pPr>
            <w:r>
              <w:rPr>
                <w:rFonts w:hint="eastAsia" w:ascii="宋体" w:hAnsi="宋体"/>
              </w:rPr>
              <w:t>一、商务要求：</w:t>
            </w:r>
          </w:p>
          <w:p>
            <w:pPr>
              <w:numPr>
                <w:ilvl w:val="0"/>
                <w:numId w:val="31"/>
              </w:numPr>
              <w:rPr>
                <w:rFonts w:ascii="宋体" w:hAnsi="宋体"/>
              </w:rPr>
            </w:pPr>
            <w:r>
              <w:rPr>
                <w:rFonts w:hint="eastAsia" w:ascii="宋体" w:hAnsi="宋体"/>
              </w:rPr>
              <w:t>制造商应通过ISO9001：2000质量管理体系认证。</w:t>
            </w:r>
          </w:p>
          <w:p>
            <w:pPr>
              <w:numPr>
                <w:ilvl w:val="0"/>
                <w:numId w:val="31"/>
              </w:numPr>
              <w:rPr>
                <w:rFonts w:ascii="宋体" w:hAnsi="宋体"/>
              </w:rPr>
            </w:pPr>
            <w:r>
              <w:rPr>
                <w:rFonts w:hint="eastAsia" w:ascii="宋体" w:hAnsi="宋体"/>
              </w:rPr>
              <w:t>制造商在深圳地区设有完善的售后服务机构。</w:t>
            </w:r>
          </w:p>
          <w:p>
            <w:pPr>
              <w:numPr>
                <w:ilvl w:val="0"/>
                <w:numId w:val="31"/>
              </w:numPr>
              <w:rPr>
                <w:rFonts w:ascii="宋体" w:hAnsi="宋体"/>
              </w:rPr>
            </w:pPr>
            <w:r>
              <w:rPr>
                <w:rFonts w:hint="eastAsia" w:ascii="宋体" w:hAnsi="宋体"/>
              </w:rPr>
              <w:t>产品应为国内知名品牌。</w:t>
            </w:r>
          </w:p>
          <w:p>
            <w:pPr>
              <w:rPr>
                <w:rFonts w:ascii="宋体" w:hAnsi="宋体"/>
              </w:rPr>
            </w:pPr>
          </w:p>
          <w:p>
            <w:pPr>
              <w:rPr>
                <w:rFonts w:ascii="宋体" w:hAnsi="宋体"/>
              </w:rPr>
            </w:pPr>
            <w:r>
              <w:rPr>
                <w:rFonts w:hint="eastAsia" w:ascii="宋体" w:hAnsi="宋体"/>
              </w:rPr>
              <w:t>二、技术要求：</w:t>
            </w:r>
          </w:p>
          <w:p>
            <w:pPr>
              <w:spacing w:line="276" w:lineRule="auto"/>
              <w:rPr>
                <w:rFonts w:ascii="宋体" w:hAnsi="宋体"/>
              </w:rPr>
            </w:pPr>
            <w:r>
              <w:rPr>
                <w:rFonts w:hint="eastAsia" w:ascii="宋体" w:hAnsi="宋体"/>
              </w:rPr>
              <w:t>1）符合设计及有关规范要求。</w:t>
            </w:r>
          </w:p>
          <w:p>
            <w:pPr>
              <w:spacing w:line="276" w:lineRule="auto"/>
              <w:rPr>
                <w:rFonts w:ascii="宋体" w:hAnsi="宋体"/>
              </w:rPr>
            </w:pPr>
            <w:r>
              <w:rPr>
                <w:rFonts w:hint="eastAsia" w:ascii="宋体" w:hAnsi="宋体"/>
              </w:rPr>
              <w:t>2）公称压力大于各系统设计要求的试验压力。</w:t>
            </w:r>
          </w:p>
          <w:p>
            <w:pPr>
              <w:spacing w:line="276" w:lineRule="auto"/>
              <w:rPr>
                <w:rFonts w:ascii="宋体" w:hAnsi="宋体"/>
              </w:rPr>
            </w:pPr>
            <w:r>
              <w:rPr>
                <w:rFonts w:hint="eastAsia" w:ascii="宋体" w:hAnsi="宋体"/>
              </w:rPr>
              <w:t>3）不锈钢软接应符合GB/T12777－2008的规定,金属软管应符合GB/T14525－2010的规定。不锈钢软接的材料采用304不锈钢，两端接管或法兰采用低碳钢或不锈钢。</w:t>
            </w:r>
          </w:p>
          <w:p>
            <w:pPr>
              <w:spacing w:line="276" w:lineRule="auto"/>
              <w:rPr>
                <w:rFonts w:ascii="宋体" w:hAnsi="宋体"/>
              </w:rPr>
            </w:pPr>
            <w:r>
              <w:rPr>
                <w:rFonts w:hint="eastAsia" w:ascii="宋体" w:hAnsi="宋体"/>
              </w:rPr>
              <w:t>4）不锈钢柔性接头使用温度－20℃～250℃。</w:t>
            </w:r>
          </w:p>
          <w:p>
            <w:pPr>
              <w:spacing w:line="276" w:lineRule="auto"/>
              <w:rPr>
                <w:rFonts w:ascii="宋体" w:hAnsi="宋体"/>
              </w:rPr>
            </w:pPr>
            <w:r>
              <w:rPr>
                <w:rFonts w:hint="eastAsia" w:ascii="宋体" w:hAnsi="宋体"/>
              </w:rPr>
              <w:t>5）橡胶接头应符合HG/T2289－2001的规定，材料须为多层尼龙线质织物与纯天然橡胶混合经压铸定型而成。</w:t>
            </w:r>
          </w:p>
          <w:p>
            <w:pPr>
              <w:spacing w:line="360" w:lineRule="auto"/>
              <w:rPr>
                <w:rFonts w:ascii="宋体" w:hAnsi="宋体"/>
              </w:rPr>
            </w:pPr>
            <w:r>
              <w:rPr>
                <w:rFonts w:hint="eastAsia" w:ascii="宋体" w:hAnsi="宋体"/>
              </w:rPr>
              <w:t>6）橡胶接头连接用的法兰需为锻造法兰并经过双层烤漆防腐处理。</w:t>
            </w:r>
          </w:p>
          <w:p>
            <w:pPr>
              <w:spacing w:line="360" w:lineRule="auto"/>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14.</w:t>
            </w:r>
          </w:p>
        </w:tc>
        <w:tc>
          <w:tcPr>
            <w:tcW w:w="966" w:type="dxa"/>
          </w:tcPr>
          <w:p>
            <w:pPr>
              <w:rPr>
                <w:rFonts w:ascii="宋体" w:hAnsi="宋体"/>
                <w:szCs w:val="21"/>
              </w:rPr>
            </w:pPr>
            <w:r>
              <w:rPr>
                <w:rFonts w:hint="eastAsia" w:ascii="宋体" w:hAnsi="宋体"/>
              </w:rPr>
              <w:t>组合式不锈钢生活贮水箱</w:t>
            </w:r>
          </w:p>
        </w:tc>
        <w:tc>
          <w:tcPr>
            <w:tcW w:w="5926" w:type="dxa"/>
          </w:tcPr>
          <w:p>
            <w:pPr>
              <w:rPr>
                <w:rFonts w:ascii="宋体" w:hAnsi="宋体"/>
                <w:szCs w:val="21"/>
              </w:rPr>
            </w:pPr>
            <w:r>
              <w:rPr>
                <w:rFonts w:hint="eastAsia" w:ascii="宋体" w:hAnsi="宋体" w:cs="Arial"/>
                <w:szCs w:val="21"/>
              </w:rPr>
              <w:t>一、</w:t>
            </w:r>
            <w:r>
              <w:rPr>
                <w:rFonts w:hint="eastAsia" w:ascii="宋体" w:hAnsi="宋体"/>
                <w:szCs w:val="21"/>
              </w:rPr>
              <w:t>商务要求：</w:t>
            </w:r>
          </w:p>
          <w:p>
            <w:pPr>
              <w:numPr>
                <w:ilvl w:val="0"/>
                <w:numId w:val="32"/>
              </w:numPr>
              <w:rPr>
                <w:rFonts w:ascii="宋体" w:hAnsi="宋体"/>
                <w:szCs w:val="21"/>
              </w:rPr>
            </w:pPr>
            <w:r>
              <w:rPr>
                <w:rFonts w:hint="eastAsia" w:ascii="宋体" w:hAnsi="宋体"/>
                <w:szCs w:val="21"/>
              </w:rPr>
              <w:t>产品应符合国家和行业的有关标准规定。</w:t>
            </w:r>
          </w:p>
          <w:p>
            <w:pPr>
              <w:numPr>
                <w:ilvl w:val="0"/>
                <w:numId w:val="32"/>
              </w:numPr>
              <w:rPr>
                <w:rFonts w:ascii="宋体" w:hAnsi="宋体"/>
                <w:szCs w:val="21"/>
              </w:rPr>
            </w:pPr>
            <w:r>
              <w:rPr>
                <w:rFonts w:hint="eastAsia" w:ascii="宋体" w:hAnsi="宋体"/>
                <w:szCs w:val="21"/>
              </w:rPr>
              <w:t>制造商要求通过</w:t>
            </w:r>
            <w:r>
              <w:rPr>
                <w:rFonts w:ascii="宋体" w:hAnsi="宋体"/>
                <w:szCs w:val="21"/>
              </w:rPr>
              <w:t>ISO9001</w:t>
            </w:r>
            <w:r>
              <w:rPr>
                <w:rFonts w:hint="eastAsia" w:ascii="宋体" w:hAnsi="宋体"/>
                <w:szCs w:val="21"/>
              </w:rPr>
              <w:t>：</w:t>
            </w:r>
            <w:r>
              <w:rPr>
                <w:rFonts w:ascii="宋体" w:hAnsi="宋体"/>
                <w:szCs w:val="21"/>
              </w:rPr>
              <w:t>2000</w:t>
            </w:r>
            <w:r>
              <w:rPr>
                <w:rFonts w:hint="eastAsia" w:ascii="宋体" w:hAnsi="宋体"/>
                <w:szCs w:val="21"/>
              </w:rPr>
              <w:t>质量体系认证。</w:t>
            </w:r>
          </w:p>
          <w:p>
            <w:pPr>
              <w:numPr>
                <w:ilvl w:val="0"/>
                <w:numId w:val="32"/>
              </w:numPr>
              <w:rPr>
                <w:rFonts w:ascii="宋体" w:hAnsi="宋体"/>
                <w:szCs w:val="21"/>
              </w:rPr>
            </w:pPr>
            <w:r>
              <w:rPr>
                <w:rFonts w:hint="eastAsia" w:ascii="宋体" w:hAnsi="宋体"/>
                <w:szCs w:val="21"/>
              </w:rPr>
              <w:t>必须取得省级卫生部门颁发的涉及饮用水卫生安全的产品卫生许可证。</w:t>
            </w:r>
          </w:p>
          <w:p>
            <w:pPr>
              <w:numPr>
                <w:ilvl w:val="0"/>
                <w:numId w:val="32"/>
              </w:numPr>
              <w:rPr>
                <w:rFonts w:ascii="宋体" w:hAnsi="宋体"/>
                <w:szCs w:val="21"/>
              </w:rPr>
            </w:pPr>
            <w:r>
              <w:rPr>
                <w:rFonts w:hint="eastAsia" w:ascii="宋体" w:hAnsi="宋体"/>
                <w:szCs w:val="21"/>
              </w:rPr>
              <w:t>制造商注册资本不少于500万元人民币。</w:t>
            </w:r>
          </w:p>
          <w:p>
            <w:pPr>
              <w:rPr>
                <w:rFonts w:ascii="宋体" w:hAnsi="宋体"/>
                <w:szCs w:val="21"/>
              </w:rPr>
            </w:pPr>
          </w:p>
          <w:p>
            <w:pPr>
              <w:rPr>
                <w:rFonts w:ascii="宋体" w:hAnsi="宋体"/>
                <w:szCs w:val="21"/>
              </w:rPr>
            </w:pPr>
            <w:r>
              <w:rPr>
                <w:rFonts w:hint="eastAsia" w:ascii="宋体" w:hAnsi="宋体"/>
                <w:szCs w:val="21"/>
              </w:rPr>
              <w:t>二、技术要求：</w:t>
            </w:r>
          </w:p>
          <w:p>
            <w:pPr>
              <w:numPr>
                <w:ilvl w:val="0"/>
                <w:numId w:val="33"/>
              </w:numPr>
              <w:rPr>
                <w:rFonts w:ascii="宋体" w:hAnsi="宋体"/>
                <w:szCs w:val="21"/>
              </w:rPr>
            </w:pPr>
            <w:r>
              <w:rPr>
                <w:rFonts w:hint="eastAsia" w:ascii="宋体" w:hAnsi="宋体"/>
                <w:szCs w:val="21"/>
              </w:rPr>
              <w:t>材质：由食品级SUS304不锈钢板冲压成模块，整体拼装式结构，水箱内部拉筋选用SUS304不锈钢角钢。</w:t>
            </w:r>
          </w:p>
          <w:p>
            <w:pPr>
              <w:numPr>
                <w:ilvl w:val="0"/>
                <w:numId w:val="33"/>
              </w:numPr>
              <w:rPr>
                <w:rFonts w:ascii="宋体" w:hAnsi="宋体"/>
                <w:szCs w:val="21"/>
              </w:rPr>
            </w:pPr>
            <w:r>
              <w:rPr>
                <w:rFonts w:hint="eastAsia" w:ascii="宋体" w:hAnsi="宋体"/>
                <w:szCs w:val="21"/>
              </w:rPr>
              <w:t>水箱规格应符合设计图纸要求。</w:t>
            </w:r>
          </w:p>
          <w:p>
            <w:pPr>
              <w:numPr>
                <w:ilvl w:val="0"/>
                <w:numId w:val="33"/>
              </w:numPr>
              <w:rPr>
                <w:rFonts w:ascii="宋体" w:hAnsi="宋体"/>
                <w:szCs w:val="21"/>
              </w:rPr>
            </w:pPr>
            <w:r>
              <w:rPr>
                <w:rFonts w:hint="eastAsia" w:ascii="宋体" w:hAnsi="宋体"/>
                <w:szCs w:val="21"/>
              </w:rPr>
              <w:t>板材厚度不低于国家标准图集02S101要求。</w:t>
            </w:r>
          </w:p>
          <w:p>
            <w:pPr>
              <w:numPr>
                <w:ilvl w:val="0"/>
                <w:numId w:val="33"/>
              </w:numPr>
              <w:rPr>
                <w:rFonts w:ascii="宋体" w:hAnsi="宋体"/>
                <w:szCs w:val="21"/>
              </w:rPr>
            </w:pPr>
            <w:r>
              <w:rPr>
                <w:rFonts w:hint="eastAsia" w:ascii="宋体" w:hAnsi="宋体"/>
                <w:szCs w:val="21"/>
              </w:rPr>
              <w:t>水箱带通气管(带18目不锈钢防虫网)、人孔、内外人梯，以及设计要求的开口。</w:t>
            </w:r>
          </w:p>
          <w:p>
            <w:pPr>
              <w:numPr>
                <w:ilvl w:val="0"/>
                <w:numId w:val="33"/>
              </w:numPr>
              <w:rPr>
                <w:rFonts w:ascii="宋体" w:hAnsi="宋体"/>
                <w:szCs w:val="21"/>
              </w:rPr>
            </w:pPr>
            <w:r>
              <w:rPr>
                <w:rFonts w:hint="eastAsia" w:ascii="宋体" w:hAnsi="宋体"/>
                <w:szCs w:val="21"/>
              </w:rPr>
              <w:t>所有与外部接口的管口均应配带不锈钢连接法兰。</w:t>
            </w:r>
          </w:p>
          <w:p>
            <w:pPr>
              <w:numPr>
                <w:ilvl w:val="0"/>
                <w:numId w:val="33"/>
              </w:numPr>
              <w:rPr>
                <w:rFonts w:ascii="宋体" w:hAnsi="宋体"/>
                <w:szCs w:val="21"/>
              </w:rPr>
            </w:pPr>
            <w:r>
              <w:rPr>
                <w:rFonts w:hint="eastAsia" w:ascii="宋体" w:hAnsi="宋体"/>
                <w:szCs w:val="21"/>
              </w:rPr>
              <w:t>不锈钢水箱的制造应符合国家有关标准要求。</w:t>
            </w:r>
          </w:p>
          <w:p>
            <w:pPr>
              <w:rPr>
                <w:rFonts w:ascii="宋体" w:hAnsi="宋体"/>
                <w:szCs w:val="21"/>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15.</w:t>
            </w:r>
          </w:p>
        </w:tc>
        <w:tc>
          <w:tcPr>
            <w:tcW w:w="966" w:type="dxa"/>
          </w:tcPr>
          <w:p>
            <w:pPr>
              <w:rPr>
                <w:rFonts w:ascii="宋体" w:hAnsi="宋体"/>
              </w:rPr>
            </w:pPr>
            <w:r>
              <w:rPr>
                <w:rFonts w:hint="eastAsia"/>
              </w:rPr>
              <w:t>橡塑保温材料（热水管）</w:t>
            </w:r>
          </w:p>
        </w:tc>
        <w:tc>
          <w:tcPr>
            <w:tcW w:w="5926" w:type="dxa"/>
          </w:tcPr>
          <w:p>
            <w:pPr>
              <w:spacing w:line="360" w:lineRule="auto"/>
              <w:rPr>
                <w:rFonts w:ascii="宋体" w:hAnsi="宋体"/>
                <w:szCs w:val="21"/>
              </w:rPr>
            </w:pPr>
            <w:r>
              <w:rPr>
                <w:rFonts w:hint="eastAsia"/>
              </w:rPr>
              <w:t>一、</w:t>
            </w:r>
            <w:r>
              <w:rPr>
                <w:rFonts w:hint="eastAsia" w:ascii="宋体" w:hAnsi="宋体"/>
                <w:szCs w:val="21"/>
              </w:rPr>
              <w:t>商务要求：</w:t>
            </w:r>
          </w:p>
          <w:p>
            <w:pPr>
              <w:spacing w:line="360" w:lineRule="auto"/>
              <w:rPr>
                <w:rFonts w:ascii="宋体" w:hAnsi="宋体"/>
                <w:szCs w:val="21"/>
              </w:rPr>
            </w:pPr>
            <w:r>
              <w:rPr>
                <w:rFonts w:hint="eastAsia" w:ascii="宋体" w:hAnsi="宋体"/>
                <w:szCs w:val="21"/>
              </w:rPr>
              <w:t>1）应为知名品牌，注册资本不少于500万人民币。</w:t>
            </w:r>
          </w:p>
          <w:p>
            <w:pPr>
              <w:spacing w:line="360" w:lineRule="auto"/>
              <w:rPr>
                <w:rFonts w:ascii="宋体" w:hAnsi="宋体"/>
                <w:szCs w:val="21"/>
              </w:rPr>
            </w:pPr>
            <w:r>
              <w:rPr>
                <w:rFonts w:hint="eastAsia" w:ascii="宋体" w:hAnsi="宋体"/>
                <w:szCs w:val="21"/>
              </w:rPr>
              <w:t>2）设备商必须通过ISO9001:2000系列质量体系认证。</w:t>
            </w:r>
          </w:p>
          <w:p>
            <w:pPr>
              <w:spacing w:line="360" w:lineRule="auto"/>
              <w:rPr>
                <w:rFonts w:ascii="宋体" w:hAnsi="宋体"/>
                <w:szCs w:val="21"/>
              </w:rPr>
            </w:pPr>
            <w:r>
              <w:rPr>
                <w:rFonts w:hint="eastAsia" w:ascii="宋体" w:hAnsi="宋体"/>
                <w:szCs w:val="21"/>
              </w:rPr>
              <w:t>3）设备商必须在深圳地区设有长期固定的售后服务机构。</w:t>
            </w:r>
          </w:p>
          <w:p>
            <w:pPr>
              <w:spacing w:line="360" w:lineRule="auto"/>
              <w:rPr>
                <w:rFonts w:ascii="宋体" w:hAnsi="宋体"/>
                <w:szCs w:val="21"/>
              </w:rPr>
            </w:pPr>
            <w:r>
              <w:rPr>
                <w:rFonts w:hint="eastAsia" w:ascii="宋体" w:hAnsi="宋体"/>
                <w:szCs w:val="21"/>
              </w:rPr>
              <w:t>二、技术要求：</w:t>
            </w:r>
          </w:p>
          <w:p>
            <w:pPr>
              <w:spacing w:line="360" w:lineRule="auto"/>
              <w:rPr>
                <w:rFonts w:ascii="宋体" w:hAnsi="宋体"/>
                <w:szCs w:val="21"/>
              </w:rPr>
            </w:pPr>
            <w:r>
              <w:rPr>
                <w:rFonts w:hint="eastAsia" w:ascii="宋体" w:hAnsi="宋体"/>
                <w:szCs w:val="21"/>
              </w:rPr>
              <w:t>1）应提供所供产品的国家防火建筑材料质量监督检测中心的型式检验合格报告。</w:t>
            </w:r>
          </w:p>
          <w:p>
            <w:pPr>
              <w:spacing w:line="300" w:lineRule="auto"/>
              <w:rPr>
                <w:rFonts w:ascii="宋体" w:hAnsi="宋体"/>
                <w:szCs w:val="21"/>
              </w:rPr>
            </w:pPr>
            <w:r>
              <w:rPr>
                <w:rFonts w:hint="eastAsia" w:ascii="宋体" w:hAnsi="宋体"/>
                <w:szCs w:val="21"/>
              </w:rPr>
              <w:t>2）橡塑表面自带铝箔，发泡材料必须不含石棉物质，为非燃材料；应具有高倍率、闭孔型独立微气泡结构；柔性好、不吸水、高弹性、耐老化、耐高温、防水，化学性能稳定，粘接、热合、分切等加工性能尤为优良，并应符合</w:t>
            </w:r>
            <w:r>
              <w:rPr>
                <w:rFonts w:ascii="宋体" w:hAnsi="宋体"/>
                <w:szCs w:val="21"/>
              </w:rPr>
              <w:t>GB/T 17794-2008</w:t>
            </w:r>
            <w:r>
              <w:rPr>
                <w:rFonts w:hint="eastAsia" w:ascii="宋体" w:hAnsi="宋体"/>
                <w:szCs w:val="21"/>
              </w:rPr>
              <w:t>《柔性泡沫橡塑绝热制品》的相关规定。</w:t>
            </w:r>
          </w:p>
          <w:p>
            <w:pPr>
              <w:spacing w:line="360" w:lineRule="auto"/>
              <w:rPr>
                <w:rFonts w:ascii="宋体" w:hAnsi="宋体"/>
                <w:szCs w:val="21"/>
              </w:rPr>
            </w:pPr>
            <w:r>
              <w:rPr>
                <w:rFonts w:hint="eastAsia" w:ascii="宋体" w:hAnsi="宋体"/>
                <w:szCs w:val="21"/>
              </w:rPr>
              <w:t>3）</w:t>
            </w:r>
            <w:r>
              <w:rPr>
                <w:rFonts w:hint="eastAsia" w:ascii="宋体"/>
              </w:rPr>
              <w:t>燃烧性能达到GB8624-2006规定的B级防火标准</w:t>
            </w:r>
            <w:r>
              <w:rPr>
                <w:rFonts w:hint="eastAsia" w:ascii="宋体" w:hAnsi="宋体"/>
                <w:szCs w:val="21"/>
              </w:rPr>
              <w:t>，具有国家防火中心的NFTC认证，并且应符合建筑设计防火规范GB50016</w:t>
            </w:r>
            <w:r>
              <w:rPr>
                <w:rFonts w:ascii="宋体" w:hAnsi="宋体"/>
                <w:szCs w:val="21"/>
              </w:rPr>
              <w:t>—</w:t>
            </w:r>
            <w:r>
              <w:rPr>
                <w:rFonts w:hint="eastAsia" w:ascii="宋体" w:hAnsi="宋体"/>
                <w:szCs w:val="21"/>
              </w:rPr>
              <w:t>2006相关条文的要求。</w:t>
            </w:r>
          </w:p>
          <w:p>
            <w:pPr>
              <w:spacing w:line="360" w:lineRule="auto"/>
              <w:rPr>
                <w:rFonts w:ascii="宋体" w:hAnsi="宋体"/>
                <w:szCs w:val="21"/>
              </w:rPr>
            </w:pPr>
            <w:r>
              <w:rPr>
                <w:rFonts w:hint="eastAsia" w:ascii="宋体" w:hAnsi="宋体"/>
                <w:szCs w:val="21"/>
              </w:rPr>
              <w:t>4）所用胶水、胶带为原厂配置的不燃性环保胶水、胶带。</w:t>
            </w:r>
          </w:p>
          <w:p>
            <w:pPr>
              <w:spacing w:line="360" w:lineRule="auto"/>
              <w:rPr>
                <w:rFonts w:ascii="宋体" w:hAnsi="宋体"/>
                <w:szCs w:val="21"/>
              </w:rPr>
            </w:pPr>
            <w:r>
              <w:rPr>
                <w:rFonts w:hint="eastAsia" w:ascii="宋体" w:hAnsi="宋体"/>
                <w:szCs w:val="21"/>
              </w:rPr>
              <w:t>5）不生霉、对管道无腐蚀性。</w:t>
            </w:r>
          </w:p>
          <w:p>
            <w:pPr>
              <w:rPr>
                <w:rFonts w:ascii="宋体" w:hAnsi="宋体"/>
                <w:szCs w:val="21"/>
              </w:rPr>
            </w:pPr>
            <w:r>
              <w:rPr>
                <w:rFonts w:hint="eastAsia" w:ascii="宋体" w:hAnsi="宋体"/>
                <w:szCs w:val="21"/>
              </w:rPr>
              <w:t>6）保温厚度符合GB50243-2002规范和设计文件要求。</w:t>
            </w:r>
          </w:p>
          <w:p/>
        </w:tc>
        <w:tc>
          <w:tcPr>
            <w:tcW w:w="997" w:type="dxa"/>
            <w:vAlign w:val="center"/>
          </w:tcPr>
          <w:p>
            <w:pPr>
              <w:rPr>
                <w:rFonts w:ascii="新宋体" w:hAnsi="新宋体" w:eastAsia="新宋体" w:cs="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szCs w:val="21"/>
              </w:rPr>
            </w:pPr>
            <w:r>
              <w:rPr>
                <w:rFonts w:hint="eastAsia" w:ascii="宋体" w:hAnsi="宋体"/>
                <w:szCs w:val="21"/>
              </w:rPr>
              <w:t>16.</w:t>
            </w:r>
          </w:p>
        </w:tc>
        <w:tc>
          <w:tcPr>
            <w:tcW w:w="966" w:type="dxa"/>
          </w:tcPr>
          <w:p>
            <w:pPr>
              <w:rPr>
                <w:rFonts w:ascii="宋体" w:hAnsi="宋体"/>
                <w:bCs/>
                <w:szCs w:val="21"/>
              </w:rPr>
            </w:pPr>
            <w:r>
              <w:rPr>
                <w:rFonts w:hint="eastAsia"/>
                <w:szCs w:val="21"/>
              </w:rPr>
              <w:t>不锈钢地漏</w:t>
            </w:r>
          </w:p>
        </w:tc>
        <w:tc>
          <w:tcPr>
            <w:tcW w:w="5926" w:type="dxa"/>
            <w:vAlign w:val="center"/>
          </w:tcPr>
          <w:p>
            <w:pPr>
              <w:rPr>
                <w:rFonts w:ascii="宋体" w:hAnsi="宋体"/>
              </w:rPr>
            </w:pPr>
            <w:r>
              <w:rPr>
                <w:rFonts w:hint="eastAsia" w:ascii="宋体" w:hAnsi="宋体"/>
              </w:rPr>
              <w:t>一、商务要求：</w:t>
            </w:r>
          </w:p>
          <w:p>
            <w:pPr>
              <w:rPr>
                <w:rFonts w:ascii="宋体" w:hAnsi="宋体"/>
              </w:rPr>
            </w:pPr>
            <w:r>
              <w:rPr>
                <w:rFonts w:hint="eastAsia" w:ascii="宋体" w:hAnsi="宋体"/>
              </w:rPr>
              <w:t>1）制造商应通过ISO9001：2000质量管理体系认证。</w:t>
            </w:r>
          </w:p>
          <w:p>
            <w:pPr>
              <w:rPr>
                <w:rFonts w:ascii="宋体" w:hAnsi="宋体"/>
              </w:rPr>
            </w:pPr>
            <w:r>
              <w:rPr>
                <w:rFonts w:hint="eastAsia" w:ascii="宋体" w:hAnsi="宋体"/>
              </w:rPr>
              <w:t>2）制造商在深圳地区设有完善的售后服务机构。</w:t>
            </w:r>
          </w:p>
          <w:p>
            <w:pPr>
              <w:rPr>
                <w:rFonts w:ascii="宋体" w:hAnsi="宋体"/>
              </w:rPr>
            </w:pPr>
            <w:r>
              <w:rPr>
                <w:rFonts w:hint="eastAsia" w:ascii="宋体" w:hAnsi="宋体"/>
              </w:rPr>
              <w:t>二、技术要求：</w:t>
            </w:r>
          </w:p>
          <w:p>
            <w:pPr>
              <w:rPr>
                <w:rFonts w:ascii="宋体" w:hAnsi="宋体"/>
              </w:rPr>
            </w:pPr>
            <w:r>
              <w:rPr>
                <w:rFonts w:hint="eastAsia" w:ascii="宋体" w:hAnsi="宋体"/>
              </w:rPr>
              <w:t>1）采用304不锈钢材质制造的优质产品。</w:t>
            </w:r>
          </w:p>
          <w:p>
            <w:pPr>
              <w:rPr>
                <w:rFonts w:ascii="宋体" w:hAnsi="宋体"/>
              </w:rPr>
            </w:pPr>
            <w:r>
              <w:rPr>
                <w:rFonts w:hint="eastAsia" w:ascii="宋体" w:hAnsi="宋体"/>
              </w:rPr>
              <w:t>2）符合国家或行业的生产技术标准。</w:t>
            </w:r>
          </w:p>
          <w:p>
            <w:pPr>
              <w:rPr>
                <w:rFonts w:ascii="宋体" w:hAnsi="宋体"/>
              </w:rPr>
            </w:pPr>
            <w:r>
              <w:rPr>
                <w:rFonts w:hint="eastAsia" w:ascii="宋体" w:hAnsi="宋体"/>
              </w:rPr>
              <w:t>3）规格、尺寸要符合设计及有关规范要求。</w:t>
            </w:r>
          </w:p>
          <w:p>
            <w:pPr>
              <w:rPr>
                <w:rFonts w:ascii="宋体" w:hAnsi="宋体"/>
              </w:rPr>
            </w:pPr>
            <w:r>
              <w:rPr>
                <w:rFonts w:hint="eastAsia" w:ascii="宋体" w:hAnsi="宋体"/>
              </w:rPr>
              <w:t>4）用途及使用部位：详见设计图。</w:t>
            </w:r>
          </w:p>
          <w:p>
            <w:pPr>
              <w:rPr>
                <w:rFonts w:ascii="宋体" w:hAnsi="宋体"/>
              </w:rPr>
            </w:pPr>
            <w:r>
              <w:rPr>
                <w:rFonts w:hint="eastAsia" w:ascii="宋体" w:hAnsi="宋体"/>
              </w:rPr>
              <w:t>5）其他要求详见给水排水标准图集，图集号：04S301。</w:t>
            </w:r>
          </w:p>
          <w:p>
            <w:pPr>
              <w:rPr>
                <w:rFonts w:ascii="宋体" w:hAnsi="宋体"/>
                <w:b/>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17.</w:t>
            </w:r>
          </w:p>
        </w:tc>
        <w:tc>
          <w:tcPr>
            <w:tcW w:w="966" w:type="dxa"/>
          </w:tcPr>
          <w:p>
            <w:pPr>
              <w:rPr>
                <w:rFonts w:ascii="宋体" w:hAnsi="宋体"/>
                <w:szCs w:val="21"/>
              </w:rPr>
            </w:pPr>
            <w:r>
              <w:rPr>
                <w:rFonts w:hint="eastAsia" w:ascii="宋体" w:hAnsi="宋体"/>
              </w:rPr>
              <w:t>低水箱坐便器</w:t>
            </w:r>
          </w:p>
        </w:tc>
        <w:tc>
          <w:tcPr>
            <w:tcW w:w="5926" w:type="dxa"/>
            <w:vAlign w:val="center"/>
          </w:tcPr>
          <w:p>
            <w:pPr>
              <w:rPr>
                <w:rFonts w:ascii="宋体" w:hAnsi="宋体"/>
              </w:rPr>
            </w:pPr>
            <w:r>
              <w:rPr>
                <w:rFonts w:hint="eastAsia" w:ascii="宋体" w:hAnsi="宋体"/>
              </w:rPr>
              <w:t>一、商务要求：</w:t>
            </w:r>
          </w:p>
          <w:p>
            <w:pPr>
              <w:rPr>
                <w:rFonts w:ascii="宋体" w:hAnsi="宋体"/>
              </w:rPr>
            </w:pPr>
            <w:r>
              <w:rPr>
                <w:rFonts w:hint="eastAsia" w:ascii="宋体" w:hAnsi="宋体"/>
              </w:rPr>
              <w:t>1）制造商应通过ISO9001：2000质量管理体系认证。</w:t>
            </w:r>
          </w:p>
          <w:p>
            <w:pPr>
              <w:rPr>
                <w:rFonts w:ascii="宋体" w:hAnsi="宋体"/>
              </w:rPr>
            </w:pPr>
            <w:r>
              <w:rPr>
                <w:rFonts w:hint="eastAsia" w:ascii="宋体" w:hAnsi="宋体"/>
              </w:rPr>
              <w:t>2）制造商注册资本：不少于3000万人民币。</w:t>
            </w:r>
          </w:p>
          <w:p>
            <w:pPr>
              <w:rPr>
                <w:rFonts w:ascii="宋体" w:hAnsi="宋体"/>
              </w:rPr>
            </w:pPr>
            <w:r>
              <w:rPr>
                <w:rFonts w:hint="eastAsia" w:ascii="宋体" w:hAnsi="宋体"/>
              </w:rPr>
              <w:t>3）制造商在深圳地区设有完善的售后服务机构。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34"/>
              </w:numPr>
              <w:rPr>
                <w:rFonts w:ascii="宋体" w:hAnsi="宋体"/>
              </w:rPr>
            </w:pPr>
            <w:r>
              <w:rPr>
                <w:rFonts w:hint="eastAsia" w:ascii="宋体" w:hAnsi="宋体"/>
              </w:rPr>
              <w:t>通过中国节水产品认证。</w:t>
            </w:r>
          </w:p>
          <w:p>
            <w:pPr>
              <w:numPr>
                <w:ilvl w:val="0"/>
                <w:numId w:val="34"/>
              </w:numPr>
              <w:rPr>
                <w:rFonts w:ascii="宋体" w:hAnsi="宋体"/>
              </w:rPr>
            </w:pPr>
            <w:r>
              <w:rPr>
                <w:rFonts w:hint="eastAsia" w:ascii="宋体" w:hAnsi="宋体"/>
              </w:rPr>
              <w:t>绿色建筑应符合坐便器用水效率限定值及用水效率等级（GB25502-2010</w:t>
            </w:r>
            <w:r>
              <w:rPr>
                <w:rFonts w:ascii="宋体" w:hAnsi="宋体"/>
              </w:rPr>
              <w:t>）</w:t>
            </w:r>
            <w:r>
              <w:rPr>
                <w:rFonts w:hint="eastAsia" w:ascii="宋体" w:hAnsi="宋体"/>
              </w:rPr>
              <w:t>节水2级的规定。</w:t>
            </w:r>
          </w:p>
          <w:p>
            <w:pPr>
              <w:numPr>
                <w:ilvl w:val="0"/>
                <w:numId w:val="34"/>
              </w:numPr>
              <w:rPr>
                <w:rFonts w:ascii="宋体" w:hAnsi="宋体"/>
              </w:rPr>
            </w:pPr>
            <w:r>
              <w:rPr>
                <w:rFonts w:hint="eastAsia" w:ascii="宋体" w:hAnsi="宋体"/>
              </w:rPr>
              <w:t>陶瓷放射性检测达到GB6566标准。</w:t>
            </w:r>
          </w:p>
          <w:p>
            <w:pPr>
              <w:numPr>
                <w:ilvl w:val="0"/>
                <w:numId w:val="34"/>
              </w:numPr>
              <w:rPr>
                <w:rFonts w:ascii="宋体" w:hAnsi="宋体"/>
              </w:rPr>
            </w:pPr>
            <w:r>
              <w:rPr>
                <w:rFonts w:hint="eastAsia" w:ascii="宋体" w:hAnsi="宋体"/>
              </w:rPr>
              <w:t>智洁釉面或</w:t>
            </w:r>
            <w:r>
              <w:rPr>
                <w:rFonts w:ascii="宋体" w:hAnsi="宋体"/>
              </w:rPr>
              <w:t>纳米抗菌陶瓷</w:t>
            </w:r>
            <w:r>
              <w:rPr>
                <w:rFonts w:hint="eastAsia" w:ascii="宋体" w:hAnsi="宋体"/>
              </w:rPr>
              <w:t>。</w:t>
            </w:r>
          </w:p>
          <w:p>
            <w:pPr>
              <w:numPr>
                <w:ilvl w:val="0"/>
                <w:numId w:val="34"/>
              </w:numPr>
              <w:rPr>
                <w:rFonts w:ascii="宋体" w:hAnsi="宋体"/>
              </w:rPr>
            </w:pPr>
            <w:r>
              <w:rPr>
                <w:rFonts w:ascii="宋体" w:hAnsi="宋体"/>
              </w:rPr>
              <w:t>采用</w:t>
            </w:r>
            <w:r>
              <w:rPr>
                <w:rFonts w:hint="eastAsia" w:ascii="宋体" w:hAnsi="宋体"/>
              </w:rPr>
              <w:t>分体/连体座厕，虹吸式静音冲洗。</w:t>
            </w:r>
          </w:p>
          <w:p>
            <w:pPr>
              <w:numPr>
                <w:ilvl w:val="0"/>
                <w:numId w:val="34"/>
              </w:numPr>
              <w:rPr>
                <w:rFonts w:ascii="宋体" w:hAnsi="宋体"/>
              </w:rPr>
            </w:pPr>
            <w:r>
              <w:rPr>
                <w:rFonts w:hint="eastAsia" w:ascii="宋体" w:hAnsi="宋体"/>
              </w:rPr>
              <w:t>双</w:t>
            </w:r>
            <w:r>
              <w:rPr>
                <w:rFonts w:ascii="宋体" w:hAnsi="宋体"/>
              </w:rPr>
              <w:t>档冲洗结构</w:t>
            </w:r>
            <w:r>
              <w:rPr>
                <w:rFonts w:hint="eastAsia" w:ascii="宋体" w:hAnsi="宋体"/>
              </w:rPr>
              <w:t>。</w:t>
            </w:r>
          </w:p>
          <w:p>
            <w:pPr>
              <w:numPr>
                <w:ilvl w:val="0"/>
                <w:numId w:val="34"/>
              </w:numPr>
              <w:rPr>
                <w:rFonts w:ascii="宋体" w:hAnsi="宋体"/>
              </w:rPr>
            </w:pPr>
            <w:r>
              <w:rPr>
                <w:rFonts w:hint="eastAsia" w:ascii="宋体" w:hAnsi="宋体"/>
              </w:rPr>
              <w:t>水箱进水阀要求：</w:t>
            </w:r>
            <w:r>
              <w:rPr>
                <w:rFonts w:ascii="宋体" w:hAnsi="宋体"/>
              </w:rPr>
              <w:t>静音，充水迅速，水位可调，抗杂质。</w:t>
            </w:r>
          </w:p>
          <w:p>
            <w:pPr>
              <w:numPr>
                <w:ilvl w:val="0"/>
                <w:numId w:val="34"/>
              </w:numPr>
              <w:rPr>
                <w:rFonts w:ascii="宋体" w:hAnsi="宋体"/>
              </w:rPr>
            </w:pPr>
            <w:r>
              <w:rPr>
                <w:rFonts w:hint="eastAsia" w:ascii="宋体" w:hAnsi="宋体"/>
              </w:rPr>
              <w:t>水箱配件采用吉博力水箱配件或同品质水箱配件。</w:t>
            </w:r>
          </w:p>
          <w:p>
            <w:pPr>
              <w:numPr>
                <w:ilvl w:val="0"/>
                <w:numId w:val="34"/>
              </w:numPr>
              <w:rPr>
                <w:rFonts w:ascii="宋体" w:hAnsi="宋体"/>
              </w:rPr>
            </w:pPr>
            <w:r>
              <w:rPr>
                <w:rFonts w:ascii="宋体" w:hAnsi="宋体"/>
              </w:rPr>
              <w:t>排污管内壁施釉</w:t>
            </w:r>
            <w:r>
              <w:rPr>
                <w:rFonts w:hint="eastAsia" w:ascii="宋体" w:hAnsi="宋体"/>
              </w:rPr>
              <w:t>。</w:t>
            </w:r>
          </w:p>
          <w:p>
            <w:pPr>
              <w:numPr>
                <w:ilvl w:val="0"/>
                <w:numId w:val="34"/>
              </w:numPr>
              <w:rPr>
                <w:rFonts w:ascii="宋体" w:hAnsi="宋体"/>
              </w:rPr>
            </w:pPr>
            <w:r>
              <w:rPr>
                <w:rFonts w:ascii="宋体" w:hAnsi="宋体"/>
              </w:rPr>
              <w:t>水封深度和水封回复不小于50mm</w:t>
            </w:r>
            <w:r>
              <w:rPr>
                <w:rFonts w:hint="eastAsia" w:ascii="宋体" w:hAnsi="宋体"/>
              </w:rPr>
              <w:t>。</w:t>
            </w:r>
          </w:p>
          <w:p>
            <w:pPr>
              <w:numPr>
                <w:ilvl w:val="0"/>
                <w:numId w:val="34"/>
              </w:numPr>
              <w:rPr>
                <w:rFonts w:ascii="宋体" w:hAnsi="宋体"/>
              </w:rPr>
            </w:pPr>
            <w:r>
              <w:rPr>
                <w:rFonts w:hint="eastAsia" w:ascii="宋体" w:hAnsi="宋体"/>
              </w:rPr>
              <w:t>采用缓降盖板。</w:t>
            </w:r>
          </w:p>
          <w:p>
            <w:pPr>
              <w:numPr>
                <w:ilvl w:val="0"/>
                <w:numId w:val="34"/>
              </w:numPr>
              <w:rPr>
                <w:rFonts w:ascii="宋体" w:hAnsi="宋体"/>
              </w:rPr>
            </w:pPr>
            <w:r>
              <w:rPr>
                <w:rFonts w:hint="eastAsia" w:ascii="宋体" w:hAnsi="宋体"/>
              </w:rPr>
              <w:t>配套全铜角阀，不锈钢软管。</w:t>
            </w:r>
          </w:p>
          <w:p>
            <w:pPr>
              <w:numPr>
                <w:ilvl w:val="0"/>
                <w:numId w:val="34"/>
              </w:numPr>
              <w:rPr>
                <w:rFonts w:ascii="宋体" w:hAnsi="宋体"/>
              </w:rPr>
            </w:pPr>
            <w:r>
              <w:rPr>
                <w:rFonts w:hint="eastAsia" w:ascii="宋体" w:hAnsi="宋体"/>
              </w:rPr>
              <w:t>颜色为白色。</w:t>
            </w:r>
          </w:p>
          <w:p>
            <w:pPr>
              <w:numPr>
                <w:ilvl w:val="0"/>
                <w:numId w:val="34"/>
              </w:numPr>
              <w:rPr>
                <w:rFonts w:ascii="宋体" w:hAnsi="宋体"/>
              </w:rPr>
            </w:pPr>
            <w:r>
              <w:rPr>
                <w:rFonts w:hint="eastAsia" w:ascii="宋体" w:hAnsi="宋体"/>
              </w:rPr>
              <w:t>座便器参考尺寸（设计单位提供）。</w:t>
            </w:r>
          </w:p>
          <w:p>
            <w:pPr>
              <w:numPr>
                <w:ilvl w:val="0"/>
                <w:numId w:val="34"/>
              </w:numPr>
              <w:rPr>
                <w:rFonts w:ascii="宋体" w:hAnsi="宋体"/>
              </w:rPr>
            </w:pPr>
            <w:r>
              <w:rPr>
                <w:rFonts w:hint="eastAsia" w:ascii="宋体" w:hAnsi="宋体"/>
              </w:rPr>
              <w:t>座便器参考图片（设计单位提供）。</w:t>
            </w:r>
          </w:p>
          <w:p>
            <w:pPr>
              <w:rPr>
                <w:rFonts w:ascii="宋体" w:hAnsi="宋体"/>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18.</w:t>
            </w:r>
          </w:p>
        </w:tc>
        <w:tc>
          <w:tcPr>
            <w:tcW w:w="966" w:type="dxa"/>
          </w:tcPr>
          <w:p>
            <w:pPr>
              <w:spacing w:line="360" w:lineRule="auto"/>
            </w:pPr>
            <w:r>
              <w:rPr>
                <w:rFonts w:hint="eastAsia"/>
              </w:rPr>
              <w:t>蹲便器（配手动式</w:t>
            </w:r>
            <w:r>
              <w:rPr>
                <w:rFonts w:ascii="宋体" w:hAnsi="宋体"/>
              </w:rPr>
              <w:t>冲洗阀</w:t>
            </w:r>
            <w:r>
              <w:rPr>
                <w:rFonts w:hint="eastAsia" w:ascii="宋体" w:hAnsi="宋体"/>
              </w:rPr>
              <w:t>或</w:t>
            </w:r>
            <w:r>
              <w:rPr>
                <w:rFonts w:hint="eastAsia"/>
              </w:rPr>
              <w:t>脚踏式冲洗阀）</w:t>
            </w:r>
          </w:p>
        </w:tc>
        <w:tc>
          <w:tcPr>
            <w:tcW w:w="5926" w:type="dxa"/>
            <w:vAlign w:val="center"/>
          </w:tcPr>
          <w:p>
            <w:pPr>
              <w:rPr>
                <w:rFonts w:ascii="宋体" w:hAnsi="宋体"/>
              </w:rPr>
            </w:pPr>
            <w:r>
              <w:rPr>
                <w:rFonts w:hint="eastAsia" w:ascii="宋体" w:hAnsi="宋体"/>
              </w:rPr>
              <w:t>一、商务要求：</w:t>
            </w:r>
          </w:p>
          <w:p>
            <w:pPr>
              <w:numPr>
                <w:ilvl w:val="0"/>
                <w:numId w:val="35"/>
              </w:numPr>
              <w:tabs>
                <w:tab w:val="left" w:pos="360"/>
              </w:tabs>
              <w:rPr>
                <w:rFonts w:ascii="宋体" w:hAnsi="宋体"/>
              </w:rPr>
            </w:pPr>
            <w:r>
              <w:rPr>
                <w:rFonts w:hint="eastAsia" w:ascii="宋体" w:hAnsi="宋体"/>
              </w:rPr>
              <w:t>制造商应通过ISO9001：2000质量管理体系认证。</w:t>
            </w:r>
          </w:p>
          <w:p>
            <w:pPr>
              <w:numPr>
                <w:ilvl w:val="0"/>
                <w:numId w:val="35"/>
              </w:numPr>
              <w:tabs>
                <w:tab w:val="left" w:pos="360"/>
              </w:tabs>
              <w:rPr>
                <w:rFonts w:ascii="宋体" w:hAnsi="宋体"/>
              </w:rPr>
            </w:pPr>
            <w:r>
              <w:rPr>
                <w:rFonts w:hint="eastAsia" w:ascii="宋体" w:hAnsi="宋体"/>
              </w:rPr>
              <w:t>制造商注册资本：不少于3000万人民币。</w:t>
            </w:r>
          </w:p>
          <w:p>
            <w:pPr>
              <w:numPr>
                <w:ilvl w:val="0"/>
                <w:numId w:val="35"/>
              </w:numPr>
              <w:tabs>
                <w:tab w:val="left" w:pos="360"/>
              </w:tabs>
              <w:rPr>
                <w:rFonts w:ascii="宋体" w:hAnsi="宋体"/>
              </w:rPr>
            </w:pPr>
            <w:r>
              <w:rPr>
                <w:rFonts w:hint="eastAsia" w:ascii="宋体" w:hAnsi="宋体"/>
              </w:rPr>
              <w:t>制造商在深圳地区设有完善的售后服务机构。</w:t>
            </w:r>
          </w:p>
          <w:p>
            <w:pPr>
              <w:rPr>
                <w:rFonts w:ascii="宋体" w:hAnsi="宋体"/>
              </w:rPr>
            </w:pPr>
            <w:r>
              <w:rPr>
                <w:rFonts w:hint="eastAsia" w:ascii="宋体" w:hAnsi="宋体"/>
              </w:rPr>
              <w:t>二、产品技术要求：</w:t>
            </w:r>
          </w:p>
          <w:p>
            <w:pPr>
              <w:numPr>
                <w:ilvl w:val="0"/>
                <w:numId w:val="36"/>
              </w:numPr>
              <w:tabs>
                <w:tab w:val="left" w:pos="360"/>
              </w:tabs>
              <w:rPr>
                <w:rFonts w:ascii="宋体" w:hAnsi="宋体"/>
              </w:rPr>
            </w:pPr>
            <w:r>
              <w:rPr>
                <w:rFonts w:hint="eastAsia" w:ascii="宋体" w:hAnsi="宋体"/>
              </w:rPr>
              <w:t>通过中国节水产品认证。</w:t>
            </w:r>
          </w:p>
          <w:p>
            <w:pPr>
              <w:numPr>
                <w:ilvl w:val="0"/>
                <w:numId w:val="36"/>
              </w:numPr>
              <w:tabs>
                <w:tab w:val="left" w:pos="360"/>
              </w:tabs>
              <w:rPr>
                <w:rFonts w:ascii="宋体" w:hAnsi="宋体"/>
              </w:rPr>
            </w:pPr>
            <w:r>
              <w:rPr>
                <w:rFonts w:hint="eastAsia" w:ascii="宋体" w:hAnsi="宋体"/>
              </w:rPr>
              <w:t>绿色建筑应符合便器冲洗阀用水效率限定值及用水效率等级（GB28379-2012</w:t>
            </w:r>
            <w:r>
              <w:rPr>
                <w:rFonts w:ascii="宋体" w:hAnsi="宋体"/>
              </w:rPr>
              <w:t>）</w:t>
            </w:r>
            <w:r>
              <w:rPr>
                <w:rFonts w:hint="eastAsia" w:ascii="宋体" w:hAnsi="宋体"/>
              </w:rPr>
              <w:t>节水2级的规定。</w:t>
            </w:r>
          </w:p>
          <w:p>
            <w:pPr>
              <w:numPr>
                <w:ilvl w:val="0"/>
                <w:numId w:val="36"/>
              </w:numPr>
              <w:tabs>
                <w:tab w:val="left" w:pos="360"/>
              </w:tabs>
              <w:rPr>
                <w:rFonts w:ascii="宋体" w:hAnsi="宋体"/>
              </w:rPr>
            </w:pPr>
            <w:r>
              <w:rPr>
                <w:rFonts w:hint="eastAsia" w:ascii="宋体" w:hAnsi="宋体"/>
              </w:rPr>
              <w:t>陶瓷放射性检测达到GB6566标准。</w:t>
            </w:r>
          </w:p>
          <w:p>
            <w:pPr>
              <w:numPr>
                <w:ilvl w:val="0"/>
                <w:numId w:val="36"/>
              </w:numPr>
              <w:tabs>
                <w:tab w:val="left" w:pos="360"/>
              </w:tabs>
              <w:rPr>
                <w:rFonts w:ascii="宋体" w:hAnsi="宋体"/>
              </w:rPr>
            </w:pPr>
            <w:r>
              <w:rPr>
                <w:rFonts w:hint="eastAsia" w:ascii="宋体" w:hAnsi="宋体"/>
              </w:rPr>
              <w:t>蹲便器采用智洁釉面或</w:t>
            </w:r>
            <w:r>
              <w:rPr>
                <w:rFonts w:ascii="宋体" w:hAnsi="宋体"/>
              </w:rPr>
              <w:t>纳米抗菌陶瓷</w:t>
            </w:r>
            <w:r>
              <w:rPr>
                <w:rFonts w:hint="eastAsia" w:ascii="宋体" w:hAnsi="宋体"/>
              </w:rPr>
              <w:t>，</w:t>
            </w:r>
            <w:r>
              <w:rPr>
                <w:rFonts w:ascii="宋体" w:hAnsi="宋体"/>
              </w:rPr>
              <w:t>防滑脚踏</w:t>
            </w:r>
            <w:r>
              <w:rPr>
                <w:rFonts w:hint="eastAsia" w:ascii="宋体" w:hAnsi="宋体"/>
              </w:rPr>
              <w:t>。</w:t>
            </w:r>
          </w:p>
          <w:p>
            <w:pPr>
              <w:numPr>
                <w:ilvl w:val="0"/>
                <w:numId w:val="36"/>
              </w:numPr>
              <w:tabs>
                <w:tab w:val="left" w:pos="360"/>
              </w:tabs>
              <w:rPr>
                <w:rFonts w:ascii="宋体" w:hAnsi="宋体"/>
              </w:rPr>
            </w:pPr>
            <w:r>
              <w:rPr>
                <w:rFonts w:hint="eastAsia" w:ascii="宋体" w:hAnsi="宋体"/>
              </w:rPr>
              <w:t>蹲便器自带存水弯。</w:t>
            </w:r>
          </w:p>
          <w:p>
            <w:pPr>
              <w:numPr>
                <w:ilvl w:val="0"/>
                <w:numId w:val="36"/>
              </w:numPr>
              <w:tabs>
                <w:tab w:val="left" w:pos="360"/>
              </w:tabs>
              <w:rPr>
                <w:rFonts w:ascii="宋体" w:hAnsi="宋体"/>
              </w:rPr>
            </w:pPr>
            <w:r>
              <w:rPr>
                <w:rFonts w:ascii="宋体" w:hAnsi="宋体"/>
              </w:rPr>
              <w:t>排污弯管</w:t>
            </w:r>
            <w:r>
              <w:rPr>
                <w:rFonts w:hint="eastAsia" w:ascii="宋体" w:hAnsi="宋体"/>
              </w:rPr>
              <w:t>内</w:t>
            </w:r>
            <w:r>
              <w:rPr>
                <w:rFonts w:ascii="宋体" w:hAnsi="宋体"/>
              </w:rPr>
              <w:t>壁施釉</w:t>
            </w:r>
            <w:r>
              <w:rPr>
                <w:rFonts w:hint="eastAsia" w:ascii="宋体" w:hAnsi="宋体"/>
              </w:rPr>
              <w:t>。</w:t>
            </w:r>
          </w:p>
          <w:p>
            <w:pPr>
              <w:numPr>
                <w:ilvl w:val="0"/>
                <w:numId w:val="36"/>
              </w:numPr>
              <w:tabs>
                <w:tab w:val="left" w:pos="360"/>
              </w:tabs>
              <w:rPr>
                <w:rFonts w:ascii="宋体" w:hAnsi="宋体"/>
              </w:rPr>
            </w:pPr>
            <w:r>
              <w:rPr>
                <w:rFonts w:hint="eastAsia" w:ascii="宋体" w:hAnsi="宋体"/>
              </w:rPr>
              <w:t>冲洗阀采用铜制铸造本体，表面镀铬。</w:t>
            </w:r>
          </w:p>
          <w:p>
            <w:pPr>
              <w:numPr>
                <w:ilvl w:val="0"/>
                <w:numId w:val="36"/>
              </w:numPr>
              <w:tabs>
                <w:tab w:val="left" w:pos="360"/>
              </w:tabs>
              <w:rPr>
                <w:rFonts w:ascii="宋体" w:hAnsi="宋体"/>
              </w:rPr>
            </w:pPr>
            <w:r>
              <w:rPr>
                <w:rFonts w:hint="eastAsia" w:ascii="宋体" w:hAnsi="宋体"/>
              </w:rPr>
              <w:t>颜色为白色。</w:t>
            </w:r>
          </w:p>
          <w:p>
            <w:pPr>
              <w:rPr>
                <w:rFonts w:ascii="宋体" w:hAnsi="宋体"/>
              </w:rPr>
            </w:pPr>
            <w:r>
              <w:rPr>
                <w:rFonts w:hint="eastAsia" w:ascii="宋体" w:hAnsi="宋体"/>
              </w:rPr>
              <w:t>9）蹲便器平面参考规格尺寸：62</w:t>
            </w:r>
            <w:r>
              <w:rPr>
                <w:rFonts w:ascii="宋体" w:hAnsi="宋体"/>
              </w:rPr>
              <w:t>0*450mm</w:t>
            </w:r>
            <w:r>
              <w:rPr>
                <w:rFonts w:hint="eastAsia" w:ascii="宋体" w:hAnsi="宋体"/>
              </w:rPr>
              <w:t>。</w:t>
            </w:r>
          </w:p>
          <w:p>
            <w:pPr>
              <w:rPr>
                <w:rFonts w:ascii="宋体" w:hAnsi="宋体"/>
              </w:rPr>
            </w:pPr>
            <w:r>
              <w:rPr>
                <w:rFonts w:hint="eastAsia" w:ascii="宋体" w:hAnsi="宋体"/>
              </w:rPr>
              <w:t>10）蹲便器参考图片（设计单位提供）。</w:t>
            </w:r>
          </w:p>
          <w:p/>
        </w:tc>
        <w:tc>
          <w:tcPr>
            <w:tcW w:w="997" w:type="dxa"/>
            <w:vAlign w:val="center"/>
          </w:tcPr>
          <w:p>
            <w:pPr>
              <w:adjustRightInd w:val="0"/>
              <w:snapToGrid w:val="0"/>
              <w:rPr>
                <w:rFonts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19.</w:t>
            </w:r>
          </w:p>
        </w:tc>
        <w:tc>
          <w:tcPr>
            <w:tcW w:w="966" w:type="dxa"/>
          </w:tcPr>
          <w:p>
            <w:pPr>
              <w:rPr>
                <w:rFonts w:ascii="宋体" w:hAnsi="宋体"/>
              </w:rPr>
            </w:pPr>
            <w:r>
              <w:rPr>
                <w:rFonts w:hint="eastAsia" w:ascii="宋体" w:hAnsi="宋体"/>
              </w:rPr>
              <w:t>小便器</w:t>
            </w:r>
            <w:r>
              <w:rPr>
                <w:rFonts w:hint="eastAsia"/>
              </w:rPr>
              <w:t>（配自闭式</w:t>
            </w:r>
            <w:r>
              <w:rPr>
                <w:rFonts w:ascii="宋体" w:hAnsi="宋体"/>
              </w:rPr>
              <w:t>冲洗阀</w:t>
            </w:r>
            <w:r>
              <w:rPr>
                <w:rFonts w:hint="eastAsia" w:ascii="宋体" w:hAnsi="宋体"/>
              </w:rPr>
              <w:t>或</w:t>
            </w:r>
            <w:r>
              <w:rPr>
                <w:rFonts w:hint="eastAsia"/>
              </w:rPr>
              <w:t>感应冲洗阀）</w:t>
            </w:r>
          </w:p>
        </w:tc>
        <w:tc>
          <w:tcPr>
            <w:tcW w:w="5926" w:type="dxa"/>
            <w:vAlign w:val="center"/>
          </w:tcPr>
          <w:p>
            <w:pPr>
              <w:rPr>
                <w:rFonts w:ascii="宋体" w:hAnsi="宋体"/>
              </w:rPr>
            </w:pPr>
            <w:r>
              <w:rPr>
                <w:rFonts w:hint="eastAsia" w:ascii="宋体" w:hAnsi="宋体"/>
              </w:rPr>
              <w:t>一、商务要求：</w:t>
            </w:r>
          </w:p>
          <w:p>
            <w:pPr>
              <w:numPr>
                <w:ilvl w:val="0"/>
                <w:numId w:val="37"/>
              </w:numPr>
              <w:tabs>
                <w:tab w:val="left" w:pos="420"/>
                <w:tab w:val="clear" w:pos="360"/>
              </w:tabs>
              <w:ind w:left="420" w:hanging="420"/>
              <w:rPr>
                <w:rFonts w:ascii="宋体" w:hAnsi="宋体"/>
              </w:rPr>
            </w:pPr>
            <w:r>
              <w:rPr>
                <w:rFonts w:hint="eastAsia" w:ascii="宋体" w:hAnsi="宋体"/>
              </w:rPr>
              <w:t>制造商应通过ISO9001：2000质量管理体系认证。</w:t>
            </w:r>
          </w:p>
          <w:p>
            <w:pPr>
              <w:numPr>
                <w:ilvl w:val="0"/>
                <w:numId w:val="37"/>
              </w:numPr>
              <w:tabs>
                <w:tab w:val="left" w:pos="420"/>
                <w:tab w:val="clear" w:pos="360"/>
              </w:tabs>
              <w:ind w:left="420" w:hanging="420"/>
              <w:rPr>
                <w:rFonts w:ascii="宋体" w:hAnsi="宋体"/>
              </w:rPr>
            </w:pPr>
            <w:r>
              <w:rPr>
                <w:rFonts w:hint="eastAsia" w:ascii="宋体" w:hAnsi="宋体"/>
              </w:rPr>
              <w:t>制造商注册资本：不少于3000万人民币。</w:t>
            </w:r>
          </w:p>
          <w:p>
            <w:pPr>
              <w:numPr>
                <w:ilvl w:val="0"/>
                <w:numId w:val="37"/>
              </w:numPr>
              <w:tabs>
                <w:tab w:val="left" w:pos="420"/>
                <w:tab w:val="clear" w:pos="360"/>
              </w:tabs>
              <w:ind w:left="420" w:hanging="420"/>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38"/>
              </w:numPr>
              <w:rPr>
                <w:rFonts w:ascii="宋体" w:hAnsi="宋体"/>
              </w:rPr>
            </w:pPr>
            <w:r>
              <w:rPr>
                <w:rFonts w:hint="eastAsia" w:ascii="宋体" w:hAnsi="宋体"/>
              </w:rPr>
              <w:t>通过中国节水产品认证。</w:t>
            </w:r>
          </w:p>
          <w:p>
            <w:pPr>
              <w:numPr>
                <w:ilvl w:val="0"/>
                <w:numId w:val="38"/>
              </w:numPr>
              <w:rPr>
                <w:rFonts w:ascii="宋体" w:hAnsi="宋体"/>
              </w:rPr>
            </w:pPr>
            <w:r>
              <w:rPr>
                <w:rFonts w:hint="eastAsia" w:ascii="宋体" w:hAnsi="宋体"/>
              </w:rPr>
              <w:t>陶瓷放射性检测达到GB6566标准。</w:t>
            </w:r>
          </w:p>
          <w:p>
            <w:pPr>
              <w:numPr>
                <w:ilvl w:val="0"/>
                <w:numId w:val="38"/>
              </w:numPr>
              <w:rPr>
                <w:rFonts w:ascii="宋体" w:hAnsi="宋体"/>
              </w:rPr>
            </w:pPr>
            <w:r>
              <w:rPr>
                <w:rFonts w:hint="eastAsia" w:ascii="宋体" w:hAnsi="宋体"/>
              </w:rPr>
              <w:t>智洁釉面或</w:t>
            </w:r>
            <w:r>
              <w:rPr>
                <w:rFonts w:ascii="宋体" w:hAnsi="宋体"/>
              </w:rPr>
              <w:t>纳米抗菌陶瓷</w:t>
            </w:r>
            <w:r>
              <w:rPr>
                <w:rFonts w:hint="eastAsia" w:ascii="宋体" w:hAnsi="宋体"/>
              </w:rPr>
              <w:t>。</w:t>
            </w:r>
          </w:p>
          <w:p>
            <w:pPr>
              <w:numPr>
                <w:ilvl w:val="0"/>
                <w:numId w:val="38"/>
              </w:numPr>
              <w:rPr>
                <w:rFonts w:ascii="宋体" w:hAnsi="宋体"/>
              </w:rPr>
            </w:pPr>
            <w:r>
              <w:rPr>
                <w:rFonts w:hint="eastAsia" w:ascii="宋体" w:hAnsi="宋体"/>
              </w:rPr>
              <w:t>绿色建筑应符合小便器用水效率限定值及用水效率等级（GB28377-2012</w:t>
            </w:r>
            <w:r>
              <w:rPr>
                <w:rFonts w:ascii="宋体" w:hAnsi="宋体"/>
              </w:rPr>
              <w:t>）</w:t>
            </w:r>
            <w:r>
              <w:rPr>
                <w:rFonts w:hint="eastAsia" w:ascii="宋体" w:hAnsi="宋体"/>
              </w:rPr>
              <w:t>节水2级的规定。</w:t>
            </w:r>
          </w:p>
          <w:p>
            <w:pPr>
              <w:numPr>
                <w:ilvl w:val="0"/>
                <w:numId w:val="38"/>
              </w:numPr>
              <w:rPr>
                <w:rFonts w:ascii="宋体" w:hAnsi="宋体"/>
              </w:rPr>
            </w:pPr>
            <w:r>
              <w:rPr>
                <w:rFonts w:hint="eastAsia" w:ascii="宋体" w:hAnsi="宋体"/>
              </w:rPr>
              <w:t>采用落地立式小便斗或后排水挂式小便斗。</w:t>
            </w:r>
          </w:p>
          <w:p>
            <w:pPr>
              <w:numPr>
                <w:ilvl w:val="0"/>
                <w:numId w:val="38"/>
              </w:numPr>
              <w:rPr>
                <w:rFonts w:ascii="宋体" w:hAnsi="宋体"/>
              </w:rPr>
            </w:pPr>
            <w:r>
              <w:rPr>
                <w:rFonts w:hint="eastAsia" w:ascii="宋体" w:hAnsi="宋体"/>
              </w:rPr>
              <w:t>冲洗水覆盖小便器全部表面。</w:t>
            </w:r>
          </w:p>
          <w:p>
            <w:pPr>
              <w:numPr>
                <w:ilvl w:val="0"/>
                <w:numId w:val="38"/>
              </w:numPr>
              <w:rPr>
                <w:rFonts w:ascii="宋体" w:hAnsi="宋体"/>
              </w:rPr>
            </w:pPr>
            <w:r>
              <w:rPr>
                <w:rFonts w:hint="eastAsia" w:ascii="宋体" w:hAnsi="宋体"/>
              </w:rPr>
              <w:t>颜色为白色。</w:t>
            </w:r>
          </w:p>
          <w:p>
            <w:pPr>
              <w:numPr>
                <w:ilvl w:val="0"/>
                <w:numId w:val="38"/>
              </w:numPr>
              <w:rPr>
                <w:rFonts w:ascii="宋体" w:hAnsi="宋体"/>
              </w:rPr>
            </w:pPr>
            <w:r>
              <w:rPr>
                <w:rFonts w:hint="eastAsia" w:ascii="宋体" w:hAnsi="宋体"/>
              </w:rPr>
              <w:t>参考规格尺寸（设计单位提供）。</w:t>
            </w:r>
          </w:p>
          <w:p>
            <w:pPr>
              <w:numPr>
                <w:ilvl w:val="0"/>
                <w:numId w:val="38"/>
              </w:numPr>
              <w:rPr>
                <w:rFonts w:ascii="宋体" w:hAnsi="宋体"/>
              </w:rPr>
            </w:pPr>
            <w:r>
              <w:rPr>
                <w:rFonts w:hint="eastAsia" w:ascii="宋体" w:hAnsi="宋体"/>
              </w:rPr>
              <w:t>参考图片（设计单位提供）。</w:t>
            </w:r>
          </w:p>
          <w:p>
            <w:pPr>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20.</w:t>
            </w:r>
          </w:p>
        </w:tc>
        <w:tc>
          <w:tcPr>
            <w:tcW w:w="966" w:type="dxa"/>
          </w:tcPr>
          <w:p>
            <w:pPr>
              <w:rPr>
                <w:rFonts w:ascii="宋体" w:hAnsi="宋体"/>
              </w:rPr>
            </w:pPr>
            <w:r>
              <w:rPr>
                <w:rFonts w:hint="eastAsia" w:ascii="宋体" w:hAnsi="宋体"/>
              </w:rPr>
              <w:t>洗手盆</w:t>
            </w:r>
          </w:p>
        </w:tc>
        <w:tc>
          <w:tcPr>
            <w:tcW w:w="5926" w:type="dxa"/>
            <w:vAlign w:val="center"/>
          </w:tcPr>
          <w:p>
            <w:pPr>
              <w:rPr>
                <w:rFonts w:ascii="宋体" w:hAnsi="宋体"/>
              </w:rPr>
            </w:pPr>
            <w:r>
              <w:rPr>
                <w:rFonts w:hint="eastAsia" w:ascii="宋体" w:hAnsi="宋体"/>
              </w:rPr>
              <w:t>一、商务要求：</w:t>
            </w:r>
          </w:p>
          <w:p>
            <w:pPr>
              <w:numPr>
                <w:ilvl w:val="0"/>
                <w:numId w:val="39"/>
              </w:numPr>
              <w:rPr>
                <w:rFonts w:ascii="宋体" w:hAnsi="宋体"/>
              </w:rPr>
            </w:pPr>
            <w:r>
              <w:rPr>
                <w:rFonts w:hint="eastAsia" w:ascii="宋体" w:hAnsi="宋体"/>
              </w:rPr>
              <w:t>制造商应通过ISO9001：2000质量管理体系认证。</w:t>
            </w:r>
          </w:p>
          <w:p>
            <w:pPr>
              <w:numPr>
                <w:ilvl w:val="0"/>
                <w:numId w:val="39"/>
              </w:numPr>
              <w:rPr>
                <w:rFonts w:ascii="宋体" w:hAnsi="宋体"/>
              </w:rPr>
            </w:pPr>
            <w:r>
              <w:rPr>
                <w:rFonts w:hint="eastAsia" w:ascii="宋体" w:hAnsi="宋体"/>
              </w:rPr>
              <w:t>制造商注册资本：不少于3000万人民币。</w:t>
            </w:r>
          </w:p>
          <w:p>
            <w:pPr>
              <w:numPr>
                <w:ilvl w:val="0"/>
                <w:numId w:val="39"/>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40"/>
              </w:numPr>
              <w:rPr>
                <w:rFonts w:ascii="宋体" w:hAnsi="宋体"/>
              </w:rPr>
            </w:pPr>
            <w:r>
              <w:rPr>
                <w:rFonts w:hint="eastAsia" w:ascii="宋体" w:hAnsi="宋体"/>
              </w:rPr>
              <w:t>配套不锈钢存水弯，不锈钢给水软管、铜镀铬角阀。</w:t>
            </w:r>
          </w:p>
          <w:p>
            <w:pPr>
              <w:numPr>
                <w:ilvl w:val="0"/>
                <w:numId w:val="40"/>
              </w:numPr>
              <w:rPr>
                <w:rFonts w:ascii="宋体" w:hAnsi="宋体"/>
              </w:rPr>
            </w:pPr>
            <w:r>
              <w:rPr>
                <w:rFonts w:hint="eastAsia" w:ascii="宋体" w:hAnsi="宋体"/>
              </w:rPr>
              <w:t>陶瓷放射性检测达到GB6566标准。</w:t>
            </w:r>
          </w:p>
          <w:p>
            <w:pPr>
              <w:numPr>
                <w:ilvl w:val="0"/>
                <w:numId w:val="40"/>
              </w:numPr>
              <w:rPr>
                <w:rFonts w:ascii="宋体" w:hAnsi="宋体"/>
              </w:rPr>
            </w:pPr>
            <w:r>
              <w:rPr>
                <w:rFonts w:hint="eastAsia" w:ascii="宋体" w:hAnsi="宋体"/>
              </w:rPr>
              <w:t>智洁釉面或</w:t>
            </w:r>
            <w:r>
              <w:rPr>
                <w:rFonts w:ascii="宋体" w:hAnsi="宋体"/>
              </w:rPr>
              <w:t>纳米抗菌陶瓷</w:t>
            </w:r>
            <w:r>
              <w:rPr>
                <w:rFonts w:hint="eastAsia" w:ascii="宋体" w:hAnsi="宋体"/>
              </w:rPr>
              <w:t>。</w:t>
            </w:r>
          </w:p>
          <w:p>
            <w:pPr>
              <w:numPr>
                <w:ilvl w:val="0"/>
                <w:numId w:val="40"/>
              </w:numPr>
              <w:rPr>
                <w:rFonts w:ascii="宋体" w:hAnsi="宋体"/>
              </w:rPr>
            </w:pPr>
            <w:r>
              <w:rPr>
                <w:rFonts w:hint="eastAsia" w:ascii="宋体" w:hAnsi="宋体"/>
              </w:rPr>
              <w:t>颜色为白色。</w:t>
            </w:r>
          </w:p>
          <w:p>
            <w:pPr>
              <w:numPr>
                <w:ilvl w:val="0"/>
                <w:numId w:val="40"/>
              </w:numPr>
              <w:rPr>
                <w:rFonts w:ascii="宋体" w:hAnsi="宋体"/>
              </w:rPr>
            </w:pPr>
            <w:r>
              <w:rPr>
                <w:rFonts w:hint="eastAsia" w:ascii="宋体" w:hAnsi="宋体"/>
              </w:rPr>
              <w:t>洗手盆尺寸（设计单位提供）。</w:t>
            </w:r>
          </w:p>
          <w:p>
            <w:pPr>
              <w:rPr>
                <w:rFonts w:ascii="宋体" w:hAnsi="宋体"/>
              </w:rPr>
            </w:pPr>
            <w:r>
              <w:rPr>
                <w:rFonts w:hint="eastAsia" w:ascii="宋体" w:hAnsi="宋体"/>
              </w:rPr>
              <w:t>6） 参考图片（设计单位提供）。</w:t>
            </w:r>
          </w:p>
          <w:p>
            <w:pPr>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21.</w:t>
            </w:r>
          </w:p>
        </w:tc>
        <w:tc>
          <w:tcPr>
            <w:tcW w:w="966" w:type="dxa"/>
          </w:tcPr>
          <w:p>
            <w:pPr>
              <w:rPr>
                <w:rFonts w:ascii="宋体" w:hAnsi="宋体"/>
              </w:rPr>
            </w:pPr>
            <w:r>
              <w:rPr>
                <w:rFonts w:hint="eastAsia" w:ascii="宋体" w:hAnsi="宋体"/>
              </w:rPr>
              <w:t>小便器感应器</w:t>
            </w:r>
          </w:p>
        </w:tc>
        <w:tc>
          <w:tcPr>
            <w:tcW w:w="5926" w:type="dxa"/>
            <w:vAlign w:val="center"/>
          </w:tcPr>
          <w:p>
            <w:pPr>
              <w:rPr>
                <w:rFonts w:ascii="宋体" w:hAnsi="宋体"/>
              </w:rPr>
            </w:pPr>
            <w:r>
              <w:rPr>
                <w:rFonts w:hint="eastAsia" w:ascii="宋体" w:hAnsi="宋体"/>
              </w:rPr>
              <w:t>一、商务要求：</w:t>
            </w:r>
          </w:p>
          <w:p>
            <w:pPr>
              <w:numPr>
                <w:ilvl w:val="0"/>
                <w:numId w:val="41"/>
              </w:numPr>
              <w:tabs>
                <w:tab w:val="left" w:pos="420"/>
                <w:tab w:val="clear" w:pos="1384"/>
              </w:tabs>
              <w:ind w:left="420"/>
              <w:rPr>
                <w:rFonts w:ascii="宋体" w:hAnsi="宋体"/>
              </w:rPr>
            </w:pPr>
            <w:r>
              <w:rPr>
                <w:rFonts w:hint="eastAsia" w:ascii="宋体" w:hAnsi="宋体"/>
              </w:rPr>
              <w:t>制造商应通过ISO9001：2000质量管理体系认证。</w:t>
            </w:r>
          </w:p>
          <w:p>
            <w:pPr>
              <w:numPr>
                <w:ilvl w:val="0"/>
                <w:numId w:val="41"/>
              </w:numPr>
              <w:tabs>
                <w:tab w:val="left" w:pos="420"/>
                <w:tab w:val="clear" w:pos="1384"/>
              </w:tabs>
              <w:ind w:left="420"/>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42"/>
              </w:numPr>
              <w:rPr>
                <w:rFonts w:ascii="宋体" w:hAnsi="宋体"/>
              </w:rPr>
            </w:pPr>
            <w:r>
              <w:rPr>
                <w:rFonts w:hint="eastAsia" w:ascii="宋体" w:hAnsi="宋体"/>
              </w:rPr>
              <w:t>产品符合GJ/T 194-2004《非接触式给水器具》要求。</w:t>
            </w:r>
          </w:p>
          <w:p>
            <w:pPr>
              <w:numPr>
                <w:ilvl w:val="0"/>
                <w:numId w:val="42"/>
              </w:numPr>
              <w:rPr>
                <w:rFonts w:ascii="宋体" w:hAnsi="宋体"/>
              </w:rPr>
            </w:pPr>
            <w:r>
              <w:rPr>
                <w:rFonts w:hint="eastAsia" w:ascii="宋体" w:hAnsi="宋体"/>
              </w:rPr>
              <w:t>感应装置嵌墙，不锈钢面板，铬色，内置感应电磁开关、定时器，感应范围及冲水量可调。</w:t>
            </w:r>
          </w:p>
          <w:p>
            <w:pPr>
              <w:numPr>
                <w:ilvl w:val="0"/>
                <w:numId w:val="42"/>
              </w:numPr>
              <w:rPr>
                <w:rFonts w:ascii="宋体" w:hAnsi="宋体"/>
              </w:rPr>
            </w:pPr>
            <w:r>
              <w:rPr>
                <w:rFonts w:hint="eastAsia" w:ascii="宋体" w:hAnsi="宋体"/>
              </w:rPr>
              <w:t>采用交流电驱动。</w:t>
            </w:r>
          </w:p>
          <w:p>
            <w:pPr>
              <w:numPr>
                <w:ilvl w:val="0"/>
                <w:numId w:val="42"/>
              </w:numPr>
              <w:rPr>
                <w:rFonts w:ascii="宋体" w:hAnsi="宋体"/>
              </w:rPr>
            </w:pPr>
            <w:r>
              <w:rPr>
                <w:rFonts w:hint="eastAsia" w:ascii="宋体" w:hAnsi="宋体"/>
              </w:rPr>
              <w:t>参考规格尺寸（设计单位提供）。</w:t>
            </w:r>
          </w:p>
          <w:p>
            <w:pPr>
              <w:numPr>
                <w:ilvl w:val="0"/>
                <w:numId w:val="42"/>
              </w:numPr>
              <w:rPr>
                <w:rFonts w:ascii="宋体" w:hAnsi="宋体"/>
              </w:rPr>
            </w:pPr>
            <w:r>
              <w:rPr>
                <w:rFonts w:hint="eastAsia" w:ascii="宋体" w:hAnsi="宋体"/>
              </w:rPr>
              <w:t>参考图片（设计单位提供）。</w:t>
            </w:r>
          </w:p>
          <w:p>
            <w:pPr>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22.</w:t>
            </w:r>
          </w:p>
        </w:tc>
        <w:tc>
          <w:tcPr>
            <w:tcW w:w="966" w:type="dxa"/>
          </w:tcPr>
          <w:p>
            <w:pPr>
              <w:rPr>
                <w:rFonts w:ascii="宋体" w:hAnsi="宋体"/>
              </w:rPr>
            </w:pPr>
            <w:r>
              <w:rPr>
                <w:rFonts w:hint="eastAsia" w:ascii="宋体" w:hAnsi="宋体"/>
              </w:rPr>
              <w:t>普通水龙头</w:t>
            </w:r>
          </w:p>
        </w:tc>
        <w:tc>
          <w:tcPr>
            <w:tcW w:w="5926" w:type="dxa"/>
            <w:vAlign w:val="center"/>
          </w:tcPr>
          <w:p>
            <w:pPr>
              <w:rPr>
                <w:rFonts w:ascii="宋体" w:hAnsi="宋体"/>
              </w:rPr>
            </w:pPr>
            <w:r>
              <w:rPr>
                <w:rFonts w:hint="eastAsia" w:ascii="宋体" w:hAnsi="宋体"/>
              </w:rPr>
              <w:t>一、商务要求：</w:t>
            </w:r>
          </w:p>
          <w:p>
            <w:pPr>
              <w:numPr>
                <w:ilvl w:val="0"/>
                <w:numId w:val="43"/>
              </w:numPr>
              <w:rPr>
                <w:rFonts w:ascii="宋体" w:hAnsi="宋体"/>
              </w:rPr>
            </w:pPr>
            <w:r>
              <w:rPr>
                <w:rFonts w:hint="eastAsia" w:ascii="宋体" w:hAnsi="宋体"/>
              </w:rPr>
              <w:t>制造商应通过ISO9001：2000质量管理体系认证。</w:t>
            </w:r>
          </w:p>
          <w:p>
            <w:pPr>
              <w:numPr>
                <w:ilvl w:val="0"/>
                <w:numId w:val="43"/>
              </w:numPr>
              <w:rPr>
                <w:rFonts w:ascii="宋体" w:hAnsi="宋体"/>
              </w:rPr>
            </w:pPr>
            <w:r>
              <w:rPr>
                <w:rFonts w:hint="eastAsia" w:ascii="宋体" w:hAnsi="宋体"/>
              </w:rPr>
              <w:t>制造商注册资本：不少于3000万人民币。</w:t>
            </w:r>
          </w:p>
          <w:p>
            <w:pPr>
              <w:numPr>
                <w:ilvl w:val="0"/>
                <w:numId w:val="43"/>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44"/>
              </w:numPr>
              <w:rPr>
                <w:rFonts w:ascii="宋体" w:hAnsi="宋体"/>
              </w:rPr>
            </w:pPr>
            <w:r>
              <w:rPr>
                <w:rFonts w:hint="eastAsia" w:ascii="宋体" w:hAnsi="宋体"/>
              </w:rPr>
              <w:t>通过中国节水产品认证。</w:t>
            </w:r>
          </w:p>
          <w:p>
            <w:pPr>
              <w:numPr>
                <w:ilvl w:val="0"/>
                <w:numId w:val="44"/>
              </w:numPr>
              <w:rPr>
                <w:rFonts w:ascii="宋体" w:hAnsi="宋体"/>
              </w:rPr>
            </w:pPr>
            <w:r>
              <w:rPr>
                <w:rFonts w:hint="eastAsia" w:ascii="宋体" w:hAnsi="宋体"/>
              </w:rPr>
              <w:t>产品符合CJ 164-2002《</w:t>
            </w:r>
            <w:r>
              <w:rPr>
                <w:rFonts w:ascii="宋体" w:hAnsi="宋体"/>
              </w:rPr>
              <w:t>节水型生活用水器具标准规范</w:t>
            </w:r>
            <w:r>
              <w:rPr>
                <w:rFonts w:hint="eastAsia" w:ascii="宋体" w:hAnsi="宋体"/>
              </w:rPr>
              <w:t>》要求。</w:t>
            </w:r>
          </w:p>
          <w:p>
            <w:pPr>
              <w:numPr>
                <w:ilvl w:val="0"/>
                <w:numId w:val="44"/>
              </w:numPr>
              <w:rPr>
                <w:rFonts w:ascii="宋体" w:hAnsi="宋体"/>
              </w:rPr>
            </w:pPr>
            <w:r>
              <w:rPr>
                <w:rFonts w:hint="eastAsia" w:ascii="宋体" w:hAnsi="宋体"/>
              </w:rPr>
              <w:t>绿色建筑应符合水嘴用水效率限定值及用水效率等级（GB25501-2010</w:t>
            </w:r>
            <w:r>
              <w:rPr>
                <w:rFonts w:ascii="宋体" w:hAnsi="宋体"/>
              </w:rPr>
              <w:t>）</w:t>
            </w:r>
            <w:r>
              <w:rPr>
                <w:rFonts w:hint="eastAsia" w:ascii="宋体" w:hAnsi="宋体"/>
              </w:rPr>
              <w:t>节水2级的规定。</w:t>
            </w:r>
          </w:p>
          <w:p>
            <w:pPr>
              <w:numPr>
                <w:ilvl w:val="0"/>
                <w:numId w:val="44"/>
              </w:numPr>
              <w:rPr>
                <w:rFonts w:ascii="宋体" w:hAnsi="宋体"/>
              </w:rPr>
            </w:pPr>
            <w:r>
              <w:rPr>
                <w:rFonts w:ascii="宋体" w:hAnsi="宋体"/>
              </w:rPr>
              <w:t>陶瓷片密封式水嘴</w:t>
            </w:r>
            <w:r>
              <w:rPr>
                <w:rFonts w:hint="eastAsia" w:ascii="宋体" w:hAnsi="宋体"/>
              </w:rPr>
              <w:t>，黄铜本体。</w:t>
            </w:r>
          </w:p>
          <w:p>
            <w:pPr>
              <w:numPr>
                <w:ilvl w:val="0"/>
                <w:numId w:val="44"/>
              </w:numPr>
              <w:rPr>
                <w:rFonts w:ascii="宋体" w:hAnsi="宋体"/>
              </w:rPr>
            </w:pPr>
            <w:r>
              <w:rPr>
                <w:rFonts w:hint="eastAsia" w:ascii="宋体" w:hAnsi="宋体"/>
              </w:rPr>
              <w:t>参考规格尺寸（设计单位提供）。</w:t>
            </w:r>
          </w:p>
          <w:p>
            <w:pPr>
              <w:numPr>
                <w:ilvl w:val="0"/>
                <w:numId w:val="44"/>
              </w:numPr>
              <w:rPr>
                <w:rFonts w:ascii="宋体" w:hAnsi="宋体"/>
              </w:rPr>
            </w:pPr>
            <w:r>
              <w:rPr>
                <w:rFonts w:hint="eastAsia" w:ascii="宋体" w:hAnsi="宋体"/>
              </w:rPr>
              <w:t>参考图片（设计单位提供）。</w:t>
            </w:r>
          </w:p>
          <w:p>
            <w:pPr>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23.</w:t>
            </w:r>
          </w:p>
        </w:tc>
        <w:tc>
          <w:tcPr>
            <w:tcW w:w="966" w:type="dxa"/>
          </w:tcPr>
          <w:p>
            <w:pPr>
              <w:rPr>
                <w:rFonts w:ascii="宋体" w:hAnsi="宋体"/>
              </w:rPr>
            </w:pPr>
            <w:r>
              <w:rPr>
                <w:rFonts w:hint="eastAsia" w:ascii="宋体" w:hAnsi="宋体"/>
              </w:rPr>
              <w:t>淋浴花洒</w:t>
            </w:r>
          </w:p>
        </w:tc>
        <w:tc>
          <w:tcPr>
            <w:tcW w:w="5926" w:type="dxa"/>
            <w:vAlign w:val="center"/>
          </w:tcPr>
          <w:p>
            <w:pPr>
              <w:rPr>
                <w:rFonts w:ascii="宋体" w:hAnsi="宋体"/>
              </w:rPr>
            </w:pPr>
            <w:r>
              <w:rPr>
                <w:rFonts w:hint="eastAsia" w:ascii="宋体" w:hAnsi="宋体"/>
              </w:rPr>
              <w:t>一、商务要求：</w:t>
            </w:r>
          </w:p>
          <w:p>
            <w:pPr>
              <w:numPr>
                <w:ilvl w:val="0"/>
                <w:numId w:val="45"/>
              </w:numPr>
              <w:rPr>
                <w:rFonts w:ascii="宋体" w:hAnsi="宋体"/>
              </w:rPr>
            </w:pPr>
            <w:r>
              <w:rPr>
                <w:rFonts w:hint="eastAsia" w:ascii="宋体" w:hAnsi="宋体"/>
              </w:rPr>
              <w:t>制造商应通过ISO9001：2000质量管理体系认证。</w:t>
            </w:r>
          </w:p>
          <w:p>
            <w:pPr>
              <w:numPr>
                <w:ilvl w:val="0"/>
                <w:numId w:val="45"/>
              </w:numPr>
              <w:rPr>
                <w:rFonts w:ascii="宋体" w:hAnsi="宋体"/>
              </w:rPr>
            </w:pPr>
            <w:r>
              <w:rPr>
                <w:rFonts w:hint="eastAsia" w:ascii="宋体" w:hAnsi="宋体"/>
              </w:rPr>
              <w:t>制造商注册资本：不少于3000万人民币。</w:t>
            </w:r>
          </w:p>
          <w:p>
            <w:pPr>
              <w:numPr>
                <w:ilvl w:val="0"/>
                <w:numId w:val="45"/>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46"/>
              </w:numPr>
              <w:rPr>
                <w:rFonts w:ascii="宋体" w:hAnsi="宋体"/>
              </w:rPr>
            </w:pPr>
            <w:r>
              <w:rPr>
                <w:rFonts w:hint="eastAsia" w:ascii="宋体" w:hAnsi="宋体"/>
              </w:rPr>
              <w:t>产品符合CJ 164-2002《</w:t>
            </w:r>
            <w:r>
              <w:rPr>
                <w:rFonts w:ascii="宋体" w:hAnsi="宋体"/>
              </w:rPr>
              <w:t>节水型生活用水器具标准规范</w:t>
            </w:r>
            <w:r>
              <w:rPr>
                <w:rFonts w:hint="eastAsia" w:ascii="宋体" w:hAnsi="宋体"/>
              </w:rPr>
              <w:t>》要求。</w:t>
            </w:r>
          </w:p>
          <w:p>
            <w:pPr>
              <w:numPr>
                <w:ilvl w:val="0"/>
                <w:numId w:val="46"/>
              </w:numPr>
              <w:rPr>
                <w:rFonts w:ascii="宋体" w:hAnsi="宋体"/>
              </w:rPr>
            </w:pPr>
            <w:r>
              <w:rPr>
                <w:rFonts w:hint="eastAsia" w:ascii="宋体" w:hAnsi="宋体"/>
              </w:rPr>
              <w:t>通过中国节水产品认证。</w:t>
            </w:r>
          </w:p>
          <w:p>
            <w:pPr>
              <w:numPr>
                <w:ilvl w:val="0"/>
                <w:numId w:val="46"/>
              </w:numPr>
              <w:rPr>
                <w:rFonts w:ascii="宋体" w:hAnsi="宋体"/>
              </w:rPr>
            </w:pPr>
            <w:r>
              <w:rPr>
                <w:rFonts w:hint="eastAsia" w:ascii="宋体" w:hAnsi="宋体"/>
              </w:rPr>
              <w:t>绿色建筑应符合淋浴器用水效率限定值及用水效率等级（GB28378-2012</w:t>
            </w:r>
            <w:r>
              <w:rPr>
                <w:rFonts w:ascii="宋体" w:hAnsi="宋体"/>
              </w:rPr>
              <w:t>）</w:t>
            </w:r>
            <w:r>
              <w:rPr>
                <w:rFonts w:hint="eastAsia" w:ascii="宋体" w:hAnsi="宋体"/>
              </w:rPr>
              <w:t>节水2级的规定。</w:t>
            </w:r>
          </w:p>
          <w:p>
            <w:pPr>
              <w:numPr>
                <w:ilvl w:val="0"/>
                <w:numId w:val="46"/>
              </w:numPr>
              <w:rPr>
                <w:rFonts w:ascii="宋体" w:hAnsi="宋体"/>
              </w:rPr>
            </w:pPr>
            <w:r>
              <w:rPr>
                <w:rFonts w:hint="eastAsia" w:ascii="宋体" w:hAnsi="宋体"/>
              </w:rPr>
              <w:t>放水龙头采用黄铜材质本体，表面镀铬。</w:t>
            </w:r>
          </w:p>
          <w:p>
            <w:pPr>
              <w:numPr>
                <w:ilvl w:val="0"/>
                <w:numId w:val="46"/>
              </w:numPr>
              <w:rPr>
                <w:rFonts w:ascii="宋体" w:hAnsi="宋体"/>
              </w:rPr>
            </w:pPr>
            <w:r>
              <w:rPr>
                <w:rFonts w:hint="eastAsia" w:ascii="宋体" w:hAnsi="宋体"/>
              </w:rPr>
              <w:t>陶瓷阀芯，冷热水调节方便。</w:t>
            </w:r>
          </w:p>
          <w:p>
            <w:pPr>
              <w:numPr>
                <w:ilvl w:val="0"/>
                <w:numId w:val="46"/>
              </w:numPr>
              <w:rPr>
                <w:rFonts w:ascii="宋体" w:hAnsi="宋体"/>
              </w:rPr>
            </w:pPr>
            <w:r>
              <w:rPr>
                <w:rFonts w:ascii="宋体" w:hAnsi="宋体"/>
              </w:rPr>
              <w:t>花洒插座位置可自由调节</w:t>
            </w:r>
            <w:r>
              <w:rPr>
                <w:rFonts w:hint="eastAsia" w:ascii="宋体" w:hAnsi="宋体"/>
              </w:rPr>
              <w:t>。</w:t>
            </w:r>
          </w:p>
          <w:p>
            <w:pPr>
              <w:numPr>
                <w:ilvl w:val="0"/>
                <w:numId w:val="46"/>
              </w:numPr>
              <w:rPr>
                <w:rFonts w:ascii="宋体" w:hAnsi="宋体"/>
              </w:rPr>
            </w:pPr>
            <w:r>
              <w:rPr>
                <w:rFonts w:ascii="宋体" w:hAnsi="宋体"/>
              </w:rPr>
              <w:t>铜质镀铬滑杆（0.8mm加厚铜管）</w:t>
            </w:r>
            <w:r>
              <w:rPr>
                <w:rFonts w:hint="eastAsia" w:ascii="宋体" w:hAnsi="宋体"/>
              </w:rPr>
              <w:t>。</w:t>
            </w:r>
          </w:p>
          <w:p>
            <w:pPr>
              <w:numPr>
                <w:ilvl w:val="0"/>
                <w:numId w:val="46"/>
              </w:numPr>
              <w:rPr>
                <w:rFonts w:ascii="宋体" w:hAnsi="宋体"/>
                <w:u w:val="single"/>
              </w:rPr>
            </w:pPr>
            <w:r>
              <w:rPr>
                <w:rFonts w:hint="eastAsia" w:ascii="宋体" w:hAnsi="宋体"/>
              </w:rPr>
              <w:t>参考图片（设计单位提供）。</w:t>
            </w:r>
          </w:p>
          <w:p>
            <w:pPr>
              <w:rPr>
                <w:rFonts w:ascii="宋体" w:hAnsi="宋体"/>
              </w:rPr>
            </w:pPr>
          </w:p>
        </w:tc>
        <w:tc>
          <w:tcPr>
            <w:tcW w:w="997" w:type="dxa"/>
            <w:vAlign w:val="center"/>
          </w:tcPr>
          <w:p>
            <w:pPr>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24.</w:t>
            </w:r>
          </w:p>
        </w:tc>
        <w:tc>
          <w:tcPr>
            <w:tcW w:w="966" w:type="dxa"/>
          </w:tcPr>
          <w:p>
            <w:pPr>
              <w:rPr>
                <w:rFonts w:ascii="宋体" w:hAnsi="宋体"/>
              </w:rPr>
            </w:pPr>
            <w:r>
              <w:rPr>
                <w:rFonts w:hint="eastAsia" w:ascii="宋体" w:hAnsi="宋体"/>
              </w:rPr>
              <w:t>感应龙头</w:t>
            </w:r>
          </w:p>
        </w:tc>
        <w:tc>
          <w:tcPr>
            <w:tcW w:w="5926" w:type="dxa"/>
            <w:vAlign w:val="center"/>
          </w:tcPr>
          <w:p>
            <w:pPr>
              <w:rPr>
                <w:rFonts w:ascii="宋体" w:hAnsi="宋体"/>
              </w:rPr>
            </w:pPr>
            <w:r>
              <w:rPr>
                <w:rFonts w:hint="eastAsia" w:ascii="宋体" w:hAnsi="宋体"/>
              </w:rPr>
              <w:t>一、商务要求：</w:t>
            </w:r>
          </w:p>
          <w:p>
            <w:pPr>
              <w:numPr>
                <w:ilvl w:val="0"/>
                <w:numId w:val="47"/>
              </w:numPr>
              <w:rPr>
                <w:rFonts w:ascii="宋体" w:hAnsi="宋体"/>
              </w:rPr>
            </w:pPr>
            <w:r>
              <w:rPr>
                <w:rFonts w:hint="eastAsia" w:ascii="宋体" w:hAnsi="宋体"/>
              </w:rPr>
              <w:t>制造商应通过ISO9001：2000质量管理体系认证。</w:t>
            </w:r>
          </w:p>
          <w:p>
            <w:pPr>
              <w:numPr>
                <w:ilvl w:val="0"/>
                <w:numId w:val="47"/>
              </w:numPr>
              <w:rPr>
                <w:rFonts w:ascii="宋体" w:hAnsi="宋体"/>
              </w:rPr>
            </w:pPr>
            <w:r>
              <w:rPr>
                <w:rFonts w:hint="eastAsia" w:ascii="宋体" w:hAnsi="宋体"/>
              </w:rPr>
              <w:t>制造商注册资本：不少于3000万人民币。</w:t>
            </w:r>
          </w:p>
          <w:p>
            <w:pPr>
              <w:numPr>
                <w:ilvl w:val="0"/>
                <w:numId w:val="47"/>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48"/>
              </w:numPr>
              <w:rPr>
                <w:rFonts w:ascii="宋体" w:hAnsi="宋体"/>
              </w:rPr>
            </w:pPr>
            <w:r>
              <w:rPr>
                <w:rFonts w:hint="eastAsia" w:ascii="宋体" w:hAnsi="宋体"/>
              </w:rPr>
              <w:t>产品符合CJ 164-2002《</w:t>
            </w:r>
            <w:r>
              <w:rPr>
                <w:rFonts w:ascii="宋体" w:hAnsi="宋体"/>
              </w:rPr>
              <w:t>节水型生活用水器具标准规范</w:t>
            </w:r>
            <w:r>
              <w:rPr>
                <w:rFonts w:hint="eastAsia" w:ascii="宋体" w:hAnsi="宋体"/>
              </w:rPr>
              <w:t>》要求。</w:t>
            </w:r>
          </w:p>
          <w:p>
            <w:pPr>
              <w:numPr>
                <w:ilvl w:val="0"/>
                <w:numId w:val="48"/>
              </w:numPr>
              <w:rPr>
                <w:rFonts w:ascii="宋体" w:hAnsi="宋体"/>
              </w:rPr>
            </w:pPr>
            <w:r>
              <w:rPr>
                <w:rFonts w:hint="eastAsia" w:ascii="宋体" w:hAnsi="宋体"/>
              </w:rPr>
              <w:t>产品符合CJ/T 194-2004《非接触式给水器具》要求。</w:t>
            </w:r>
          </w:p>
          <w:p>
            <w:pPr>
              <w:numPr>
                <w:ilvl w:val="0"/>
                <w:numId w:val="48"/>
              </w:numPr>
              <w:rPr>
                <w:rFonts w:ascii="宋体" w:hAnsi="宋体"/>
              </w:rPr>
            </w:pPr>
            <w:r>
              <w:rPr>
                <w:rFonts w:hint="eastAsia" w:ascii="宋体" w:hAnsi="宋体"/>
              </w:rPr>
              <w:t>感应龙头：</w:t>
            </w:r>
            <w:r>
              <w:rPr>
                <w:rFonts w:ascii="宋体" w:hAnsi="宋体"/>
              </w:rPr>
              <w:t>陶瓷片密封式水嘴</w:t>
            </w:r>
            <w:r>
              <w:rPr>
                <w:rFonts w:hint="eastAsia" w:ascii="宋体" w:hAnsi="宋体"/>
              </w:rPr>
              <w:t>，黄铜本体，表面镀铬或不锈钢本体。</w:t>
            </w:r>
          </w:p>
          <w:p>
            <w:pPr>
              <w:numPr>
                <w:ilvl w:val="0"/>
                <w:numId w:val="48"/>
              </w:numPr>
              <w:rPr>
                <w:rFonts w:ascii="宋体" w:hAnsi="宋体"/>
              </w:rPr>
            </w:pPr>
            <w:r>
              <w:rPr>
                <w:rFonts w:hint="eastAsia" w:ascii="宋体" w:hAnsi="宋体"/>
              </w:rPr>
              <w:t>采用交流电驱动。</w:t>
            </w:r>
          </w:p>
          <w:p>
            <w:pPr>
              <w:numPr>
                <w:ilvl w:val="0"/>
                <w:numId w:val="48"/>
              </w:numPr>
              <w:rPr>
                <w:rFonts w:ascii="宋体" w:hAnsi="宋体"/>
              </w:rPr>
            </w:pPr>
            <w:r>
              <w:rPr>
                <w:rFonts w:ascii="宋体" w:hAnsi="宋体"/>
              </w:rPr>
              <w:t>超时自动关闭水源（连续冲水超过60秒，自动关水）</w:t>
            </w:r>
            <w:r>
              <w:rPr>
                <w:rFonts w:hint="eastAsia" w:ascii="宋体" w:hAnsi="宋体"/>
              </w:rPr>
              <w:t>。</w:t>
            </w:r>
            <w:r>
              <w:rPr>
                <w:rFonts w:ascii="宋体" w:hAnsi="宋体"/>
              </w:rPr>
              <w:t xml:space="preserve"> </w:t>
            </w:r>
          </w:p>
          <w:p>
            <w:pPr>
              <w:numPr>
                <w:ilvl w:val="0"/>
                <w:numId w:val="48"/>
              </w:numPr>
              <w:rPr>
                <w:rFonts w:ascii="宋体" w:hAnsi="宋体"/>
              </w:rPr>
            </w:pPr>
            <w:r>
              <w:rPr>
                <w:rFonts w:ascii="宋体" w:hAnsi="宋体"/>
              </w:rPr>
              <w:t>防光线干扰控制，使用稳定，避免误操作</w:t>
            </w:r>
            <w:r>
              <w:rPr>
                <w:rFonts w:hint="eastAsia" w:ascii="宋体" w:hAnsi="宋体"/>
              </w:rPr>
              <w:t>。</w:t>
            </w:r>
          </w:p>
          <w:p>
            <w:pPr>
              <w:numPr>
                <w:ilvl w:val="0"/>
                <w:numId w:val="48"/>
              </w:numPr>
              <w:rPr>
                <w:rFonts w:ascii="宋体" w:hAnsi="宋体"/>
              </w:rPr>
            </w:pPr>
            <w:r>
              <w:rPr>
                <w:rFonts w:ascii="宋体" w:hAnsi="宋体"/>
              </w:rPr>
              <w:t>无电指示功能</w:t>
            </w:r>
            <w:r>
              <w:rPr>
                <w:rFonts w:hint="eastAsia" w:ascii="宋体" w:hAnsi="宋体"/>
              </w:rPr>
              <w:t>。</w:t>
            </w:r>
          </w:p>
          <w:p>
            <w:pPr>
              <w:rPr>
                <w:rFonts w:ascii="宋体" w:hAnsi="宋体"/>
              </w:rPr>
            </w:pPr>
            <w:r>
              <w:rPr>
                <w:rFonts w:hint="eastAsia" w:ascii="宋体" w:hAnsi="宋体"/>
              </w:rPr>
              <w:t>8）参考规格尺寸（设计单位提供）。</w:t>
            </w:r>
          </w:p>
          <w:p>
            <w:pPr>
              <w:rPr>
                <w:rFonts w:ascii="宋体" w:hAnsi="宋体"/>
              </w:rPr>
            </w:pPr>
            <w:r>
              <w:rPr>
                <w:rFonts w:hint="eastAsia" w:ascii="宋体" w:hAnsi="宋体"/>
              </w:rPr>
              <w:t>9）参考图片（设计单位提供）。</w:t>
            </w:r>
          </w:p>
          <w:p>
            <w:pPr>
              <w:rPr>
                <w:rFonts w:ascii="宋体" w:hAnsi="宋体"/>
              </w:rPr>
            </w:pPr>
          </w:p>
        </w:tc>
        <w:tc>
          <w:tcPr>
            <w:tcW w:w="997" w:type="dxa"/>
            <w:vAlign w:val="center"/>
          </w:tcPr>
          <w:p>
            <w:pPr>
              <w:rPr>
                <w:rFonts w:asci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26.</w:t>
            </w:r>
          </w:p>
        </w:tc>
        <w:tc>
          <w:tcPr>
            <w:tcW w:w="966" w:type="dxa"/>
          </w:tcPr>
          <w:p>
            <w:pPr>
              <w:rPr>
                <w:rFonts w:ascii="宋体" w:hAnsi="宋体"/>
                <w:b/>
                <w:bCs/>
                <w:szCs w:val="21"/>
              </w:rPr>
            </w:pPr>
            <w:r>
              <w:rPr>
                <w:rFonts w:hint="eastAsia" w:ascii="宋体" w:hAnsi="宋体"/>
                <w:szCs w:val="21"/>
              </w:rPr>
              <w:t>变频生活供水设备</w:t>
            </w:r>
          </w:p>
        </w:tc>
        <w:tc>
          <w:tcPr>
            <w:tcW w:w="5926" w:type="dxa"/>
          </w:tcPr>
          <w:p>
            <w:pPr>
              <w:pStyle w:val="256"/>
              <w:numPr>
                <w:ilvl w:val="1"/>
                <w:numId w:val="0"/>
              </w:numPr>
              <w:outlineLvl w:val="1"/>
              <w:rPr>
                <w:rFonts w:ascii="宋体" w:hAnsi="宋体"/>
                <w:b w:val="0"/>
                <w:sz w:val="21"/>
                <w:szCs w:val="21"/>
              </w:rPr>
            </w:pPr>
            <w:bookmarkStart w:id="5" w:name="_Toc192873411"/>
            <w:bookmarkStart w:id="6" w:name="_Toc192871181"/>
            <w:r>
              <w:rPr>
                <w:rFonts w:hint="eastAsia" w:ascii="宋体" w:hAnsi="宋体"/>
                <w:b w:val="0"/>
                <w:sz w:val="21"/>
                <w:szCs w:val="21"/>
              </w:rPr>
              <w:t>一、商务要求：</w:t>
            </w:r>
            <w:bookmarkEnd w:id="5"/>
            <w:bookmarkEnd w:id="6"/>
          </w:p>
          <w:p>
            <w:pPr>
              <w:rPr>
                <w:rFonts w:ascii="宋体" w:hAnsi="宋体"/>
                <w:szCs w:val="21"/>
              </w:rPr>
            </w:pPr>
            <w:r>
              <w:rPr>
                <w:rFonts w:hint="eastAsia" w:ascii="宋体" w:hAnsi="宋体"/>
                <w:szCs w:val="21"/>
              </w:rPr>
              <w:t>1）生产商注册资本不少于5000万元人民币。</w:t>
            </w:r>
          </w:p>
          <w:p>
            <w:pPr>
              <w:rPr>
                <w:rFonts w:ascii="宋体" w:hAnsi="宋体"/>
                <w:szCs w:val="21"/>
              </w:rPr>
            </w:pPr>
            <w:r>
              <w:rPr>
                <w:rFonts w:hint="eastAsia" w:ascii="宋体" w:hAnsi="宋体"/>
                <w:szCs w:val="21"/>
              </w:rPr>
              <w:t>2）成套供水机组采用知名品牌产品，产品应符合国家标准和有关规定。</w:t>
            </w:r>
          </w:p>
          <w:p>
            <w:pPr>
              <w:rPr>
                <w:rFonts w:ascii="宋体" w:hAnsi="宋体"/>
                <w:szCs w:val="21"/>
              </w:rPr>
            </w:pPr>
            <w:r>
              <w:rPr>
                <w:rFonts w:hint="eastAsia" w:ascii="宋体" w:hAnsi="宋体"/>
                <w:szCs w:val="21"/>
              </w:rPr>
              <w:t>3）水泵必须通过国家相关部门的检测，需符合国家</w:t>
            </w:r>
            <w:r>
              <w:rPr>
                <w:rFonts w:ascii="宋体" w:hAnsi="宋体"/>
                <w:szCs w:val="21"/>
              </w:rPr>
              <w:t>《生活饮用水输配水设备及防护材料卫生安全评价规范》，</w:t>
            </w:r>
            <w:r>
              <w:rPr>
                <w:rFonts w:hint="eastAsia" w:ascii="宋体" w:hAnsi="宋体"/>
                <w:szCs w:val="21"/>
              </w:rPr>
              <w:t>需提供相关检测报告。</w:t>
            </w:r>
          </w:p>
          <w:p>
            <w:pPr>
              <w:rPr>
                <w:rFonts w:ascii="宋体" w:hAnsi="宋体"/>
                <w:szCs w:val="21"/>
              </w:rPr>
            </w:pPr>
            <w:r>
              <w:rPr>
                <w:rFonts w:hint="eastAsia" w:ascii="宋体" w:hAnsi="宋体"/>
                <w:szCs w:val="21"/>
              </w:rPr>
              <w:t>4）水泵能效值必须符合GB19762-2007(清水离心泵能效限定值及节能评价值)的要求。</w:t>
            </w:r>
          </w:p>
          <w:p>
            <w:pPr>
              <w:rPr>
                <w:rFonts w:ascii="宋体" w:hAnsi="宋体"/>
                <w:szCs w:val="21"/>
              </w:rPr>
            </w:pPr>
            <w:r>
              <w:rPr>
                <w:rFonts w:hint="eastAsia" w:ascii="宋体" w:hAnsi="宋体"/>
                <w:szCs w:val="21"/>
              </w:rPr>
              <w:t>5）制造商应提供各部件的材质说明和机组基础安装大样图，同时应提供水泵运行曲线图及控制线路图。</w:t>
            </w:r>
          </w:p>
          <w:p>
            <w:pPr>
              <w:rPr>
                <w:rFonts w:ascii="宋体" w:hAnsi="宋体"/>
                <w:szCs w:val="21"/>
              </w:rPr>
            </w:pPr>
            <w:r>
              <w:rPr>
                <w:rFonts w:hint="eastAsia" w:ascii="宋体" w:hAnsi="宋体"/>
                <w:szCs w:val="21"/>
              </w:rPr>
              <w:t>6）生产厂家应经ISO9001：2000质量管理体系认证。</w:t>
            </w:r>
          </w:p>
          <w:p>
            <w:pPr>
              <w:rPr>
                <w:rFonts w:ascii="宋体" w:hAnsi="宋体"/>
                <w:szCs w:val="21"/>
              </w:rPr>
            </w:pPr>
            <w:r>
              <w:rPr>
                <w:rFonts w:hint="eastAsia" w:ascii="宋体" w:hAnsi="宋体"/>
                <w:szCs w:val="21"/>
              </w:rPr>
              <w:t>7）制造商在深圳地区设有完善的售后服务机构。</w:t>
            </w:r>
          </w:p>
          <w:p>
            <w:pPr>
              <w:ind w:left="619" w:leftChars="150" w:hanging="304" w:hangingChars="145"/>
              <w:rPr>
                <w:rFonts w:ascii="宋体" w:hAnsi="宋体"/>
                <w:szCs w:val="21"/>
              </w:rPr>
            </w:pPr>
          </w:p>
          <w:p>
            <w:pPr>
              <w:rPr>
                <w:rFonts w:ascii="宋体" w:hAnsi="宋体"/>
                <w:szCs w:val="21"/>
              </w:rPr>
            </w:pPr>
            <w:r>
              <w:rPr>
                <w:rFonts w:hint="eastAsia" w:ascii="宋体" w:hAnsi="宋体"/>
                <w:szCs w:val="21"/>
              </w:rPr>
              <w:t>二、技术要求：</w:t>
            </w:r>
          </w:p>
          <w:p>
            <w:pPr>
              <w:rPr>
                <w:rFonts w:ascii="宋体" w:hAnsi="宋体"/>
                <w:szCs w:val="21"/>
              </w:rPr>
            </w:pPr>
            <w:r>
              <w:rPr>
                <w:rFonts w:hint="eastAsia" w:ascii="宋体" w:hAnsi="宋体"/>
                <w:szCs w:val="21"/>
              </w:rPr>
              <w:t>1)水泵轴封类型为机械密封，必须保证能够正常使用30000小时。</w:t>
            </w:r>
          </w:p>
          <w:p>
            <w:pPr>
              <w:rPr>
                <w:rFonts w:ascii="宋体" w:hAnsi="宋体"/>
                <w:szCs w:val="21"/>
              </w:rPr>
            </w:pPr>
            <w:r>
              <w:rPr>
                <w:rFonts w:hint="eastAsia" w:ascii="宋体" w:hAnsi="宋体"/>
                <w:szCs w:val="21"/>
              </w:rPr>
              <w:t>2）轴承为不锈钢材质，</w:t>
            </w:r>
            <w:r>
              <w:rPr>
                <w:rFonts w:ascii="宋体" w:hAnsi="宋体"/>
                <w:szCs w:val="21"/>
              </w:rPr>
              <w:t>耐磨</w:t>
            </w:r>
            <w:r>
              <w:rPr>
                <w:rFonts w:hint="eastAsia" w:ascii="宋体" w:hAnsi="宋体"/>
                <w:szCs w:val="21"/>
              </w:rPr>
              <w:t>性大于80000小时。</w:t>
            </w:r>
          </w:p>
          <w:p>
            <w:pPr>
              <w:rPr>
                <w:rFonts w:ascii="宋体" w:hAnsi="宋体"/>
              </w:rPr>
            </w:pPr>
            <w:r>
              <w:rPr>
                <w:rFonts w:hint="eastAsia" w:ascii="宋体" w:hAnsi="宋体"/>
                <w:szCs w:val="21"/>
              </w:rPr>
              <w:t>3）</w:t>
            </w:r>
            <w:r>
              <w:rPr>
                <w:rFonts w:hint="eastAsia" w:ascii="宋体" w:hAnsi="宋体"/>
              </w:rPr>
              <w:t>水泵泵壳</w:t>
            </w:r>
            <w:r>
              <w:rPr>
                <w:rFonts w:hint="eastAsia" w:ascii="宋体" w:hAnsi="宋体"/>
                <w:szCs w:val="21"/>
              </w:rPr>
              <w:t>采用优质铸铁或不锈钢材质；叶轮采用青铜或不锈钢材质；泵轴采用不锈钢材质。</w:t>
            </w:r>
          </w:p>
          <w:p>
            <w:pPr>
              <w:rPr>
                <w:rFonts w:ascii="宋体" w:hAnsi="宋体"/>
                <w:szCs w:val="21"/>
              </w:rPr>
            </w:pPr>
            <w:r>
              <w:rPr>
                <w:rFonts w:hint="eastAsia" w:ascii="宋体" w:hAnsi="宋体"/>
                <w:szCs w:val="21"/>
              </w:rPr>
              <w:t>4）气压罐壳体采用SUS304不锈钢材质，隔膜材质应为EPDM，并应符合饮用水卫生要求。</w:t>
            </w:r>
          </w:p>
          <w:p>
            <w:pPr>
              <w:spacing w:line="300" w:lineRule="auto"/>
              <w:ind w:left="315" w:hanging="315" w:hangingChars="150"/>
              <w:rPr>
                <w:rFonts w:ascii="宋体" w:hAnsi="宋体"/>
                <w:szCs w:val="21"/>
              </w:rPr>
            </w:pPr>
            <w:r>
              <w:rPr>
                <w:rFonts w:hint="eastAsia" w:ascii="宋体" w:hAnsi="宋体"/>
                <w:szCs w:val="21"/>
              </w:rPr>
              <w:t>5）选用微机控制变频调速给水，应具有自动调节水泵转速和软启动功能，应有观察设定压力和实际压力的显示。</w:t>
            </w:r>
          </w:p>
          <w:p>
            <w:pPr>
              <w:spacing w:line="440" w:lineRule="exact"/>
              <w:rPr>
                <w:rFonts w:ascii="宋体" w:hAnsi="宋体"/>
                <w:szCs w:val="21"/>
              </w:rPr>
            </w:pPr>
            <w:r>
              <w:rPr>
                <w:rFonts w:hint="eastAsia" w:ascii="宋体" w:hAnsi="宋体"/>
                <w:szCs w:val="21"/>
              </w:rPr>
              <w:t>6）选配国际名牌变频器和PLC控制器，控制器为模块化设计，具有人机对话功能，主要电气元件（空气开关、接触器、热继电器等）选用国际名牌产品（</w:t>
            </w:r>
            <w:r>
              <w:rPr>
                <w:rFonts w:hint="eastAsia"/>
                <w:szCs w:val="21"/>
              </w:rPr>
              <w:t>西门子、ABB、施耐德、GE、海格、AEG</w:t>
            </w:r>
            <w:r>
              <w:rPr>
                <w:rFonts w:hint="eastAsia" w:ascii="宋体" w:hAnsi="宋体"/>
                <w:szCs w:val="21"/>
              </w:rPr>
              <w:t>或同等档次</w:t>
            </w:r>
            <w:r>
              <w:rPr>
                <w:rFonts w:ascii="宋体" w:hAnsi="宋体"/>
                <w:szCs w:val="21"/>
              </w:rPr>
              <w:t>）</w:t>
            </w:r>
            <w:r>
              <w:rPr>
                <w:rFonts w:hint="eastAsia" w:ascii="宋体" w:hAnsi="宋体"/>
                <w:szCs w:val="21"/>
              </w:rPr>
              <w:t>。</w:t>
            </w:r>
          </w:p>
          <w:p>
            <w:pPr>
              <w:spacing w:line="360" w:lineRule="auto"/>
              <w:rPr>
                <w:rFonts w:ascii="宋体" w:hAnsi="宋体"/>
                <w:szCs w:val="21"/>
              </w:rPr>
            </w:pPr>
            <w:r>
              <w:rPr>
                <w:rFonts w:hint="eastAsia" w:ascii="宋体" w:hAnsi="宋体"/>
                <w:szCs w:val="21"/>
              </w:rPr>
              <w:t>7）电机的要求：</w:t>
            </w:r>
          </w:p>
          <w:p>
            <w:pPr>
              <w:rPr>
                <w:rFonts w:ascii="宋体" w:hAnsi="宋体"/>
                <w:szCs w:val="21"/>
              </w:rPr>
            </w:pPr>
            <w:r>
              <w:rPr>
                <w:rFonts w:hint="eastAsia" w:ascii="宋体" w:hAnsi="宋体"/>
                <w:szCs w:val="21"/>
              </w:rPr>
              <w:t>a) 应采用高效低噪声的知名品牌电机，能效等级不低于二级，必须符合GB和IEC标准。</w:t>
            </w:r>
          </w:p>
          <w:p>
            <w:pPr>
              <w:rPr>
                <w:rFonts w:ascii="宋体" w:hAnsi="宋体"/>
                <w:szCs w:val="21"/>
              </w:rPr>
            </w:pPr>
            <w:r>
              <w:rPr>
                <w:rFonts w:hint="eastAsia" w:ascii="宋体" w:hAnsi="宋体"/>
                <w:szCs w:val="21"/>
              </w:rPr>
              <w:t>b) 电机防护等级：IP54，绝缘等级：F级。</w:t>
            </w:r>
          </w:p>
          <w:p>
            <w:pPr>
              <w:rPr>
                <w:rFonts w:ascii="宋体" w:hAnsi="宋体"/>
                <w:szCs w:val="21"/>
              </w:rPr>
            </w:pPr>
            <w:r>
              <w:rPr>
                <w:rFonts w:hint="eastAsia" w:ascii="宋体" w:hAnsi="宋体"/>
                <w:szCs w:val="21"/>
              </w:rPr>
              <w:t>c) 应有较宽范围的高效段，保证水泵在其整个运行曲线范围内不会过载。</w:t>
            </w:r>
          </w:p>
          <w:p>
            <w:pPr>
              <w:rPr>
                <w:rFonts w:ascii="宋体" w:hAnsi="宋体"/>
                <w:szCs w:val="21"/>
              </w:rPr>
            </w:pPr>
            <w:r>
              <w:rPr>
                <w:rFonts w:hint="eastAsia" w:ascii="宋体" w:hAnsi="宋体"/>
                <w:szCs w:val="21"/>
              </w:rPr>
              <w:t>8）控制要求：</w:t>
            </w:r>
          </w:p>
          <w:p>
            <w:pPr>
              <w:rPr>
                <w:rFonts w:ascii="宋体" w:hAnsi="宋体"/>
                <w:szCs w:val="21"/>
              </w:rPr>
            </w:pPr>
            <w:r>
              <w:rPr>
                <w:rFonts w:hint="eastAsia" w:ascii="宋体" w:hAnsi="宋体"/>
                <w:szCs w:val="21"/>
              </w:rPr>
              <w:t>a)  给水机组须采用先进的控制方式，机组出口压力能够根据用水量的变化发生相应的变化，以保证用户末端压力的恒定。</w:t>
            </w:r>
          </w:p>
          <w:p>
            <w:pPr>
              <w:rPr>
                <w:rFonts w:ascii="宋体" w:hAnsi="宋体"/>
                <w:szCs w:val="21"/>
              </w:rPr>
            </w:pPr>
            <w:r>
              <w:rPr>
                <w:rFonts w:hint="eastAsia" w:ascii="宋体" w:hAnsi="宋体"/>
                <w:szCs w:val="21"/>
              </w:rPr>
              <w:t>b)  变频给水机组需有专项的措施以保证供水机组在用水量变化频繁时不会频繁启停。</w:t>
            </w:r>
          </w:p>
          <w:p>
            <w:pPr>
              <w:rPr>
                <w:rFonts w:ascii="宋体" w:hAnsi="宋体"/>
                <w:szCs w:val="21"/>
              </w:rPr>
            </w:pPr>
            <w:r>
              <w:rPr>
                <w:rFonts w:hint="eastAsia" w:ascii="宋体" w:hAnsi="宋体"/>
                <w:szCs w:val="21"/>
              </w:rPr>
              <w:t>c)  供水机组的运转电流、电压、频率、出口压力、报警等常用参数都必须用中文在控制屏显示出来。</w:t>
            </w:r>
          </w:p>
          <w:p>
            <w:pPr>
              <w:rPr>
                <w:rFonts w:ascii="宋体" w:hAnsi="宋体"/>
                <w:szCs w:val="21"/>
              </w:rPr>
            </w:pPr>
            <w:r>
              <w:rPr>
                <w:rFonts w:hint="eastAsia" w:ascii="宋体" w:hAnsi="宋体"/>
                <w:szCs w:val="21"/>
              </w:rPr>
              <w:t>d)  设备应具有水位监控功能。供水机组控制柜设水箱液位控制器接点控制水泵低液位停泵；恢复到启泵水位时，水泵自动启动供水；当液位超高溢流时报警；各种故障均有声光报警提示。多台水泵应能自动切换，交替运行。</w:t>
            </w:r>
          </w:p>
          <w:p>
            <w:pPr>
              <w:spacing w:line="240" w:lineRule="atLeast"/>
              <w:rPr>
                <w:rFonts w:ascii="宋体" w:hAnsi="宋体"/>
                <w:szCs w:val="21"/>
              </w:rPr>
            </w:pPr>
            <w:r>
              <w:rPr>
                <w:rFonts w:hint="eastAsia" w:ascii="宋体" w:hAnsi="宋体"/>
                <w:szCs w:val="21"/>
              </w:rPr>
              <w:t>e)控制柜设置手动、自动控制装置；控制柜预留BA系统的通讯接口，通讯接口和通讯协议要无条件符合BA系统的要求并配合相关调试。</w:t>
            </w:r>
          </w:p>
          <w:p>
            <w:pPr>
              <w:spacing w:line="240" w:lineRule="atLeast"/>
              <w:rPr>
                <w:rFonts w:ascii="宋体" w:hAnsi="宋体"/>
                <w:szCs w:val="21"/>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633" w:type="dxa"/>
          </w:tcPr>
          <w:p>
            <w:pPr>
              <w:rPr>
                <w:rFonts w:ascii="宋体" w:hAnsi="宋体"/>
                <w:szCs w:val="21"/>
              </w:rPr>
            </w:pPr>
            <w:r>
              <w:rPr>
                <w:rFonts w:hint="eastAsia" w:ascii="宋体" w:hAnsi="宋体"/>
                <w:szCs w:val="21"/>
              </w:rPr>
              <w:t>27．</w:t>
            </w:r>
          </w:p>
        </w:tc>
        <w:tc>
          <w:tcPr>
            <w:tcW w:w="966" w:type="dxa"/>
          </w:tcPr>
          <w:p>
            <w:pPr>
              <w:rPr>
                <w:rFonts w:ascii="宋体" w:hAnsi="宋体"/>
                <w:b/>
                <w:bCs/>
                <w:szCs w:val="21"/>
              </w:rPr>
            </w:pPr>
            <w:r>
              <w:rPr>
                <w:rFonts w:hint="eastAsia" w:ascii="宋体" w:hAnsi="宋体"/>
                <w:szCs w:val="21"/>
              </w:rPr>
              <w:t>潜污泵</w:t>
            </w:r>
          </w:p>
        </w:tc>
        <w:tc>
          <w:tcPr>
            <w:tcW w:w="5926" w:type="dxa"/>
          </w:tcPr>
          <w:p>
            <w:pPr>
              <w:rPr>
                <w:rFonts w:ascii="宋体" w:hAnsi="宋体"/>
                <w:szCs w:val="21"/>
              </w:rPr>
            </w:pPr>
            <w:r>
              <w:rPr>
                <w:rFonts w:hint="eastAsia" w:ascii="宋体" w:hAnsi="宋体"/>
                <w:szCs w:val="21"/>
              </w:rPr>
              <w:t>一、商务要求：</w:t>
            </w:r>
          </w:p>
          <w:p>
            <w:pPr>
              <w:rPr>
                <w:rFonts w:ascii="宋体" w:hAnsi="宋体"/>
                <w:szCs w:val="21"/>
              </w:rPr>
            </w:pPr>
            <w:r>
              <w:rPr>
                <w:rFonts w:hint="eastAsia" w:ascii="宋体" w:hAnsi="宋体"/>
                <w:szCs w:val="21"/>
              </w:rPr>
              <w:t>1）制造商注册资本不少于5000万元。</w:t>
            </w:r>
          </w:p>
          <w:p>
            <w:pPr>
              <w:rPr>
                <w:rFonts w:ascii="宋体" w:hAnsi="宋体"/>
                <w:szCs w:val="21"/>
              </w:rPr>
            </w:pPr>
            <w:r>
              <w:rPr>
                <w:rFonts w:hint="eastAsia" w:ascii="宋体" w:hAnsi="宋体"/>
                <w:szCs w:val="21"/>
              </w:rPr>
              <w:t>2）水泵采用知名品牌产品，产品应符合有关国家标准和设计要求。</w:t>
            </w:r>
          </w:p>
          <w:p>
            <w:pPr>
              <w:rPr>
                <w:rFonts w:ascii="宋体" w:hAnsi="宋体"/>
                <w:szCs w:val="21"/>
              </w:rPr>
            </w:pPr>
            <w:r>
              <w:rPr>
                <w:rFonts w:hint="eastAsia" w:ascii="宋体" w:hAnsi="宋体"/>
                <w:szCs w:val="21"/>
              </w:rPr>
              <w:t>3）制造商应经ISO9001：2000质量管理体系认证。</w:t>
            </w:r>
          </w:p>
          <w:p>
            <w:pPr>
              <w:rPr>
                <w:rFonts w:ascii="宋体" w:hAnsi="宋体"/>
                <w:szCs w:val="21"/>
              </w:rPr>
            </w:pPr>
            <w:r>
              <w:rPr>
                <w:rFonts w:hint="eastAsia" w:ascii="宋体" w:hAnsi="宋体"/>
                <w:szCs w:val="21"/>
              </w:rPr>
              <w:t>4）制造商应提供各部件的材质说明和安装大样图，同时应提供水泵运行曲线图及控制线路图。</w:t>
            </w:r>
          </w:p>
          <w:p>
            <w:pPr>
              <w:rPr>
                <w:rFonts w:ascii="宋体" w:hAnsi="宋体"/>
                <w:szCs w:val="21"/>
              </w:rPr>
            </w:pPr>
            <w:r>
              <w:rPr>
                <w:rFonts w:hint="eastAsia" w:ascii="宋体" w:hAnsi="宋体"/>
                <w:szCs w:val="21"/>
              </w:rPr>
              <w:t>5）制造商在深圳地区设有完善的售后服务机构。</w:t>
            </w:r>
          </w:p>
          <w:p>
            <w:pPr>
              <w:spacing w:line="440" w:lineRule="exact"/>
              <w:rPr>
                <w:rFonts w:ascii="宋体" w:hAnsi="宋体"/>
                <w:szCs w:val="21"/>
              </w:rPr>
            </w:pPr>
            <w:r>
              <w:rPr>
                <w:rFonts w:hint="eastAsia" w:ascii="宋体" w:hAnsi="宋体"/>
                <w:szCs w:val="21"/>
              </w:rPr>
              <w:t>二、技术要求：</w:t>
            </w:r>
          </w:p>
          <w:p>
            <w:pPr>
              <w:spacing w:line="440" w:lineRule="exact"/>
            </w:pPr>
            <w:r>
              <w:rPr>
                <w:rFonts w:hint="eastAsia" w:ascii="宋体" w:hAnsi="宋体"/>
                <w:szCs w:val="21"/>
              </w:rPr>
              <w:t>1）采用自耦式潜污泵。</w:t>
            </w:r>
            <w:r>
              <w:t>泵与耦合装置相连，耦合底座固定于泵坑低部（在建造污水坑时，</w:t>
            </w:r>
            <w:r>
              <w:rPr>
                <w:rFonts w:hint="eastAsia"/>
              </w:rPr>
              <w:t>应</w:t>
            </w:r>
            <w:r>
              <w:t>预埋好地脚螺栓，使用时将耦合底座固定即可）</w:t>
            </w:r>
            <w:r>
              <w:rPr>
                <w:rFonts w:hint="eastAsia"/>
              </w:rPr>
              <w:t>，</w:t>
            </w:r>
            <w:r>
              <w:t>泵可以在导轨中上下自动移动</w:t>
            </w:r>
            <w:r>
              <w:rPr>
                <w:rFonts w:hint="eastAsia"/>
              </w:rPr>
              <w:t>。</w:t>
            </w:r>
            <w:r>
              <w:t>当泵放下时，耦合装置自动与耦合底座耦合</w:t>
            </w:r>
            <w:r>
              <w:rPr>
                <w:rFonts w:hint="eastAsia"/>
              </w:rPr>
              <w:t>；</w:t>
            </w:r>
            <w:r>
              <w:t>提升泵时</w:t>
            </w:r>
            <w:r>
              <w:rPr>
                <w:rFonts w:hint="eastAsia"/>
              </w:rPr>
              <w:t>，</w:t>
            </w:r>
            <w:r>
              <w:t>耦合装置与耦合底座自动脱离。</w:t>
            </w:r>
          </w:p>
          <w:p>
            <w:pPr>
              <w:rPr>
                <w:rFonts w:ascii="宋体" w:hAnsi="宋体"/>
                <w:szCs w:val="21"/>
              </w:rPr>
            </w:pPr>
            <w:r>
              <w:rPr>
                <w:rFonts w:hint="eastAsia" w:ascii="宋体" w:hAnsi="宋体"/>
                <w:szCs w:val="21"/>
              </w:rPr>
              <w:t>2）泵体材质为优质铸铁或不锈钢，泵轴、叶轮和所有紧固件材质均为不锈钢。</w:t>
            </w:r>
          </w:p>
          <w:p>
            <w:pPr>
              <w:spacing w:line="440" w:lineRule="exact"/>
              <w:rPr>
                <w:rFonts w:ascii="宋体" w:hAnsi="宋体"/>
                <w:szCs w:val="21"/>
              </w:rPr>
            </w:pPr>
            <w:r>
              <w:rPr>
                <w:rFonts w:hint="eastAsia" w:ascii="宋体" w:hAnsi="宋体"/>
                <w:szCs w:val="21"/>
              </w:rPr>
              <w:t>3）轴承为永久润滑高温型，</w:t>
            </w:r>
            <w:r>
              <w:rPr>
                <w:rFonts w:ascii="宋体" w:hAnsi="宋体"/>
                <w:szCs w:val="21"/>
              </w:rPr>
              <w:t>材质为不锈钢，应选用优质轴承，保证耐热、润滑性好，质量可靠</w:t>
            </w:r>
            <w:r>
              <w:rPr>
                <w:rFonts w:hint="eastAsia" w:ascii="宋体" w:hAnsi="宋体"/>
                <w:szCs w:val="21"/>
              </w:rPr>
              <w:t>，</w:t>
            </w:r>
            <w:r>
              <w:rPr>
                <w:rFonts w:ascii="宋体" w:hAnsi="宋体"/>
                <w:szCs w:val="21"/>
              </w:rPr>
              <w:t>耐磨</w:t>
            </w:r>
            <w:r>
              <w:rPr>
                <w:rFonts w:hint="eastAsia" w:ascii="宋体" w:hAnsi="宋体"/>
                <w:szCs w:val="21"/>
              </w:rPr>
              <w:t>性大于50000小时</w:t>
            </w:r>
            <w:r>
              <w:rPr>
                <w:rFonts w:ascii="宋体" w:hAnsi="宋体"/>
                <w:szCs w:val="21"/>
              </w:rPr>
              <w:t>。</w:t>
            </w:r>
          </w:p>
          <w:p>
            <w:pPr>
              <w:spacing w:line="440" w:lineRule="exact"/>
              <w:rPr>
                <w:rFonts w:ascii="宋体" w:hAnsi="宋体"/>
                <w:szCs w:val="21"/>
              </w:rPr>
            </w:pPr>
            <w:r>
              <w:rPr>
                <w:rFonts w:hint="eastAsia" w:ascii="宋体" w:hAnsi="宋体"/>
                <w:szCs w:val="21"/>
              </w:rPr>
              <w:t>4）机械</w:t>
            </w:r>
            <w:r>
              <w:rPr>
                <w:rFonts w:ascii="宋体" w:hAnsi="宋体"/>
                <w:szCs w:val="21"/>
              </w:rPr>
              <w:t>密封</w:t>
            </w:r>
            <w:r>
              <w:rPr>
                <w:rFonts w:hint="eastAsia" w:ascii="宋体" w:hAnsi="宋体"/>
                <w:szCs w:val="21"/>
              </w:rPr>
              <w:t>为带硬端面的双</w:t>
            </w:r>
            <w:r>
              <w:rPr>
                <w:rFonts w:ascii="宋体" w:hAnsi="宋体"/>
                <w:szCs w:val="21"/>
              </w:rPr>
              <w:t>机械密封</w:t>
            </w:r>
            <w:r>
              <w:rPr>
                <w:rFonts w:hint="eastAsia" w:ascii="宋体" w:hAnsi="宋体"/>
                <w:szCs w:val="21"/>
              </w:rPr>
              <w:t>装置，采用独立机油润滑型的轴封套</w:t>
            </w:r>
            <w:r>
              <w:rPr>
                <w:rFonts w:ascii="宋体" w:hAnsi="宋体"/>
                <w:szCs w:val="21"/>
              </w:rPr>
              <w:t>，耐磨性大于</w:t>
            </w:r>
            <w:r>
              <w:rPr>
                <w:rFonts w:hint="eastAsia" w:ascii="宋体" w:hAnsi="宋体"/>
                <w:szCs w:val="21"/>
              </w:rPr>
              <w:t>25000</w:t>
            </w:r>
            <w:r>
              <w:rPr>
                <w:rFonts w:ascii="宋体" w:hAnsi="宋体"/>
                <w:szCs w:val="21"/>
              </w:rPr>
              <w:t>小时</w:t>
            </w:r>
            <w:r>
              <w:rPr>
                <w:rFonts w:hint="eastAsia" w:ascii="宋体" w:hAnsi="宋体"/>
                <w:szCs w:val="21"/>
              </w:rPr>
              <w:t>，密封面：顶面采用石墨/陶瓷，底面采用碳化钨。</w:t>
            </w:r>
          </w:p>
          <w:p>
            <w:pPr>
              <w:rPr>
                <w:rFonts w:ascii="宋体" w:hAnsi="宋体"/>
                <w:szCs w:val="21"/>
              </w:rPr>
            </w:pPr>
            <w:r>
              <w:rPr>
                <w:rFonts w:hint="eastAsia" w:ascii="宋体" w:hAnsi="宋体"/>
                <w:szCs w:val="21"/>
              </w:rPr>
              <w:t>5）电机内置热过载或小型热保护器，为电机提供可靠有效的保护。</w:t>
            </w:r>
          </w:p>
          <w:p>
            <w:pPr>
              <w:rPr>
                <w:rFonts w:ascii="宋体" w:hAnsi="宋体"/>
                <w:szCs w:val="21"/>
              </w:rPr>
            </w:pPr>
            <w:r>
              <w:rPr>
                <w:rFonts w:hint="eastAsia" w:ascii="宋体" w:hAnsi="宋体"/>
                <w:szCs w:val="21"/>
              </w:rPr>
              <w:t>6）</w:t>
            </w:r>
            <w:r>
              <w:rPr>
                <w:rFonts w:ascii="宋体" w:hAnsi="宋体"/>
                <w:szCs w:val="21"/>
              </w:rPr>
              <w:t>电机</w:t>
            </w:r>
            <w:r>
              <w:rPr>
                <w:rFonts w:hint="eastAsia" w:ascii="宋体" w:hAnsi="宋体"/>
                <w:szCs w:val="21"/>
              </w:rPr>
              <w:t>采用高效铜绕组电机，</w:t>
            </w:r>
            <w:r>
              <w:rPr>
                <w:rFonts w:ascii="宋体" w:hAnsi="宋体"/>
                <w:szCs w:val="21"/>
              </w:rPr>
              <w:t>绝缘等级应为F级</w:t>
            </w:r>
            <w:r>
              <w:rPr>
                <w:rFonts w:hint="eastAsia" w:ascii="宋体" w:hAnsi="宋体"/>
                <w:szCs w:val="21"/>
              </w:rPr>
              <w:t>，</w:t>
            </w:r>
            <w:r>
              <w:rPr>
                <w:rFonts w:ascii="宋体" w:hAnsi="宋体"/>
                <w:szCs w:val="21"/>
              </w:rPr>
              <w:t>防护等级应为IP</w:t>
            </w:r>
            <w:r>
              <w:rPr>
                <w:rFonts w:hint="eastAsia" w:ascii="宋体" w:hAnsi="宋体"/>
                <w:szCs w:val="21"/>
              </w:rPr>
              <w:t>68。</w:t>
            </w:r>
          </w:p>
          <w:p>
            <w:pPr>
              <w:spacing w:line="440" w:lineRule="exact"/>
              <w:rPr>
                <w:rFonts w:ascii="宋体" w:hAnsi="宋体"/>
                <w:szCs w:val="21"/>
              </w:rPr>
            </w:pPr>
            <w:r>
              <w:rPr>
                <w:rFonts w:ascii="宋体" w:hAnsi="宋体"/>
                <w:szCs w:val="21"/>
              </w:rPr>
              <w:t>电机绕组真空浸渍处理和环氧树脂密封</w:t>
            </w:r>
            <w:r>
              <w:rPr>
                <w:rFonts w:hint="eastAsia" w:ascii="宋体" w:hAnsi="宋体"/>
                <w:szCs w:val="21"/>
              </w:rPr>
              <w:t>。</w:t>
            </w:r>
          </w:p>
          <w:p>
            <w:pPr>
              <w:rPr>
                <w:rFonts w:ascii="宋体" w:hAnsi="宋体"/>
                <w:szCs w:val="21"/>
              </w:rPr>
            </w:pPr>
            <w:r>
              <w:rPr>
                <w:rFonts w:hint="eastAsia" w:ascii="宋体" w:hAnsi="宋体"/>
                <w:szCs w:val="21"/>
              </w:rPr>
              <w:t>7）电缆入口需经过独特的硫化处理，三重密封电缆入口，以保证完全防止进水。</w:t>
            </w:r>
          </w:p>
          <w:p>
            <w:pPr>
              <w:rPr>
                <w:rFonts w:ascii="宋体" w:hAnsi="宋体"/>
                <w:szCs w:val="21"/>
              </w:rPr>
            </w:pPr>
            <w:r>
              <w:rPr>
                <w:rFonts w:hint="eastAsia" w:ascii="宋体" w:hAnsi="宋体"/>
                <w:szCs w:val="21"/>
              </w:rPr>
              <w:t>8）</w:t>
            </w:r>
            <w:r>
              <w:rPr>
                <w:rFonts w:ascii="宋体" w:hAnsi="宋体"/>
                <w:szCs w:val="21"/>
              </w:rPr>
              <w:t>电机的连线与绕组的绝缘应具有相同的绝缘等级，绝缘要能承受周围环境的影响。</w:t>
            </w:r>
          </w:p>
          <w:p>
            <w:pPr>
              <w:rPr>
                <w:rFonts w:ascii="宋体" w:hAnsi="宋体"/>
                <w:szCs w:val="21"/>
              </w:rPr>
            </w:pPr>
            <w:r>
              <w:rPr>
                <w:rFonts w:hint="eastAsia" w:ascii="宋体" w:hAnsi="宋体"/>
                <w:szCs w:val="21"/>
              </w:rPr>
              <w:t>9）控制要求：</w:t>
            </w:r>
          </w:p>
          <w:p>
            <w:pPr>
              <w:rPr>
                <w:rFonts w:ascii="宋体" w:hAnsi="宋体"/>
                <w:szCs w:val="21"/>
              </w:rPr>
            </w:pPr>
            <w:r>
              <w:rPr>
                <w:rFonts w:hint="eastAsia" w:ascii="宋体" w:hAnsi="宋体"/>
                <w:szCs w:val="21"/>
              </w:rPr>
              <w:t>(1) 柜体用1.2mm厚以上覆铝锌板制作。当并排安装于同一房间时，柜体外形尺寸、色泽需保持一致。</w:t>
            </w:r>
          </w:p>
          <w:p>
            <w:pPr>
              <w:spacing w:line="440" w:lineRule="exact"/>
              <w:rPr>
                <w:rFonts w:ascii="宋体" w:hAnsi="宋体"/>
                <w:szCs w:val="21"/>
              </w:rPr>
            </w:pPr>
            <w:r>
              <w:rPr>
                <w:rFonts w:hint="eastAsia" w:ascii="宋体" w:hAnsi="宋体"/>
                <w:szCs w:val="21"/>
              </w:rPr>
              <w:t>(2) 空气开关、交流接触器、热继电器等主要电气元件采用知名品牌产品（</w:t>
            </w:r>
            <w:r>
              <w:rPr>
                <w:rFonts w:hint="eastAsia"/>
                <w:szCs w:val="21"/>
              </w:rPr>
              <w:t>西门子、ABB、施耐德、GE、海格、AEG</w:t>
            </w:r>
            <w:r>
              <w:rPr>
                <w:rFonts w:hint="eastAsia" w:ascii="宋体" w:hAnsi="宋体"/>
                <w:szCs w:val="21"/>
              </w:rPr>
              <w:t>或同等档次</w:t>
            </w:r>
            <w:r>
              <w:rPr>
                <w:rFonts w:ascii="宋体" w:hAnsi="宋体"/>
                <w:szCs w:val="21"/>
              </w:rPr>
              <w:t>）</w:t>
            </w:r>
            <w:r>
              <w:rPr>
                <w:rFonts w:hint="eastAsia" w:ascii="宋体" w:hAnsi="宋体"/>
                <w:szCs w:val="21"/>
              </w:rPr>
              <w:t>。</w:t>
            </w:r>
          </w:p>
          <w:p>
            <w:pPr>
              <w:rPr>
                <w:rFonts w:ascii="宋体" w:hAnsi="宋体"/>
                <w:szCs w:val="21"/>
              </w:rPr>
            </w:pPr>
            <w:r>
              <w:rPr>
                <w:rFonts w:hint="eastAsia" w:ascii="宋体" w:hAnsi="宋体"/>
                <w:szCs w:val="21"/>
              </w:rPr>
              <w:t>(3) 根据设计要求配置液位控制系统，高水位发出报警信号。</w:t>
            </w:r>
          </w:p>
          <w:p>
            <w:pPr>
              <w:spacing w:line="440" w:lineRule="exact"/>
              <w:rPr>
                <w:rFonts w:ascii="宋体" w:hAnsi="宋体"/>
                <w:szCs w:val="21"/>
              </w:rPr>
            </w:pPr>
            <w:r>
              <w:rPr>
                <w:rFonts w:hint="eastAsia" w:ascii="宋体" w:hAnsi="宋体"/>
                <w:szCs w:val="21"/>
              </w:rPr>
              <w:t>(4) 实现水泵自动交替运行</w:t>
            </w:r>
            <w:r>
              <w:rPr>
                <w:rFonts w:ascii="宋体" w:hAnsi="宋体"/>
                <w:szCs w:val="21"/>
              </w:rPr>
              <w:t>,</w:t>
            </w:r>
            <w:r>
              <w:rPr>
                <w:rFonts w:hint="eastAsia" w:ascii="宋体" w:hAnsi="宋体"/>
                <w:szCs w:val="21"/>
              </w:rPr>
              <w:t>保证各水泵运行时间相同。</w:t>
            </w:r>
          </w:p>
          <w:p>
            <w:pPr>
              <w:rPr>
                <w:rFonts w:ascii="宋体" w:hAnsi="宋体"/>
                <w:szCs w:val="21"/>
              </w:rPr>
            </w:pPr>
            <w:r>
              <w:rPr>
                <w:rFonts w:hint="eastAsia" w:ascii="宋体" w:hAnsi="宋体"/>
                <w:szCs w:val="21"/>
              </w:rPr>
              <w:t>(5) 具有手动操作功能</w:t>
            </w:r>
            <w:r>
              <w:rPr>
                <w:rFonts w:ascii="宋体" w:hAnsi="宋体"/>
                <w:szCs w:val="21"/>
              </w:rPr>
              <w:t>,</w:t>
            </w:r>
            <w:r>
              <w:rPr>
                <w:rFonts w:hint="eastAsia" w:ascii="宋体" w:hAnsi="宋体"/>
                <w:szCs w:val="21"/>
              </w:rPr>
              <w:t>允许对单个水泵进行调试。</w:t>
            </w:r>
          </w:p>
          <w:p>
            <w:pPr>
              <w:rPr>
                <w:rFonts w:ascii="宋体" w:hAnsi="宋体"/>
                <w:szCs w:val="21"/>
              </w:rPr>
            </w:pPr>
            <w:r>
              <w:rPr>
                <w:rFonts w:hint="eastAsia" w:ascii="宋体" w:hAnsi="宋体"/>
                <w:szCs w:val="21"/>
              </w:rPr>
              <w:t>(6) 应实现完全无人值守，自动运行。</w:t>
            </w:r>
          </w:p>
          <w:p>
            <w:pPr>
              <w:rPr>
                <w:rFonts w:ascii="宋体" w:hAnsi="宋体"/>
                <w:szCs w:val="21"/>
              </w:rPr>
            </w:pPr>
            <w:r>
              <w:rPr>
                <w:rFonts w:hint="eastAsia" w:ascii="宋体" w:hAnsi="宋体"/>
                <w:szCs w:val="21"/>
              </w:rPr>
              <w:t>(7) 预留BA系统的通讯接口，通讯接口和通讯协议要无条件符合BA系统的要求并配合相关调试。</w:t>
            </w:r>
          </w:p>
          <w:p>
            <w:pPr>
              <w:rPr>
                <w:rFonts w:ascii="宋体" w:hAnsi="宋体"/>
                <w:szCs w:val="21"/>
              </w:rPr>
            </w:pPr>
          </w:p>
        </w:tc>
        <w:tc>
          <w:tcPr>
            <w:tcW w:w="997" w:type="dxa"/>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33" w:type="dxa"/>
          </w:tcPr>
          <w:p>
            <w:pPr>
              <w:rPr>
                <w:rFonts w:ascii="宋体" w:hAnsi="宋体"/>
                <w:szCs w:val="21"/>
              </w:rPr>
            </w:pPr>
            <w:r>
              <w:rPr>
                <w:rFonts w:hint="eastAsia" w:ascii="宋体" w:hAnsi="宋体"/>
                <w:szCs w:val="21"/>
              </w:rPr>
              <w:t>30.</w:t>
            </w:r>
          </w:p>
        </w:tc>
        <w:tc>
          <w:tcPr>
            <w:tcW w:w="966" w:type="dxa"/>
          </w:tcPr>
          <w:p>
            <w:pPr>
              <w:rPr>
                <w:rFonts w:ascii="宋体" w:hAnsi="宋体"/>
              </w:rPr>
            </w:pPr>
            <w:r>
              <w:rPr>
                <w:rFonts w:hint="eastAsia" w:ascii="宋体" w:hAnsi="宋体"/>
              </w:rPr>
              <w:t>太阳能</w:t>
            </w:r>
          </w:p>
          <w:p>
            <w:pPr>
              <w:rPr>
                <w:rFonts w:ascii="宋体" w:hAnsi="宋体" w:cs="Arial"/>
                <w:szCs w:val="21"/>
              </w:rPr>
            </w:pPr>
            <w:r>
              <w:rPr>
                <w:rFonts w:hint="eastAsia" w:ascii="宋体" w:hAnsi="宋体"/>
              </w:rPr>
              <w:t>热水系统设备</w:t>
            </w:r>
          </w:p>
        </w:tc>
        <w:tc>
          <w:tcPr>
            <w:tcW w:w="5926" w:type="dxa"/>
          </w:tcPr>
          <w:p>
            <w:pPr>
              <w:pStyle w:val="21"/>
              <w:rPr>
                <w:rFonts w:hAnsi="宋体"/>
                <w:b/>
              </w:rPr>
            </w:pPr>
            <w:r>
              <w:rPr>
                <w:rFonts w:hint="eastAsia" w:hAnsi="宋体"/>
                <w:b/>
              </w:rPr>
              <w:t>一、一般要求：</w:t>
            </w:r>
          </w:p>
          <w:p>
            <w:pPr>
              <w:pStyle w:val="21"/>
              <w:rPr>
                <w:rFonts w:hAnsi="宋体"/>
                <w:bCs/>
              </w:rPr>
            </w:pPr>
            <w:r>
              <w:rPr>
                <w:rFonts w:hint="eastAsia" w:hAnsi="宋体"/>
              </w:rPr>
              <w:t>1．</w:t>
            </w:r>
            <w:r>
              <w:t>投标人</w:t>
            </w:r>
            <w:r>
              <w:rPr>
                <w:rFonts w:hint="eastAsia"/>
              </w:rPr>
              <w:t>应委托专业的太阳能热水设备公司</w:t>
            </w:r>
            <w:r>
              <w:rPr>
                <w:rFonts w:hint="eastAsia" w:hAnsi="宋体"/>
                <w:bCs/>
              </w:rPr>
              <w:t>进行深化设计和施工。</w:t>
            </w:r>
          </w:p>
          <w:p>
            <w:pPr>
              <w:pStyle w:val="21"/>
              <w:rPr>
                <w:rFonts w:hAnsi="宋体"/>
              </w:rPr>
            </w:pPr>
            <w:r>
              <w:rPr>
                <w:rFonts w:hint="eastAsia"/>
                <w:snapToGrid w:val="0"/>
                <w:szCs w:val="18"/>
              </w:rPr>
              <w:t>2.专业公司</w:t>
            </w:r>
            <w:r>
              <w:rPr>
                <w:rFonts w:hint="eastAsia"/>
              </w:rPr>
              <w:t>注册资金应不低于人民币1000万元</w:t>
            </w:r>
            <w:r>
              <w:rPr>
                <w:rFonts w:hint="eastAsia" w:hAnsi="宋体"/>
              </w:rPr>
              <w:t>，注册年限不低于三年。</w:t>
            </w:r>
          </w:p>
          <w:p>
            <w:pPr>
              <w:pStyle w:val="21"/>
              <w:rPr>
                <w:rFonts w:hAnsi="宋体"/>
              </w:rPr>
            </w:pPr>
            <w:r>
              <w:rPr>
                <w:rFonts w:hint="eastAsia" w:hAnsi="宋体"/>
              </w:rPr>
              <w:t>3. 自2010年1月1日起，委托的专业公司在深圳地区至少完成三个500平方米及以上集热器面积的平板集热器太阳能热水系统的工程实例</w:t>
            </w:r>
            <w:r>
              <w:rPr>
                <w:rFonts w:hint="eastAsia" w:hAnsi="宋体"/>
                <w:i/>
              </w:rPr>
              <w:t>，</w:t>
            </w:r>
            <w:r>
              <w:rPr>
                <w:rFonts w:hint="eastAsia" w:hAnsi="宋体"/>
              </w:rPr>
              <w:t>以上实例须提供合同、竣工验收证明复印件(</w:t>
            </w:r>
            <w:r>
              <w:rPr>
                <w:rFonts w:hAnsi="宋体"/>
              </w:rPr>
              <w:t>加盖公章</w:t>
            </w:r>
            <w:r>
              <w:rPr>
                <w:rFonts w:hint="eastAsia" w:hAnsi="宋体"/>
              </w:rPr>
              <w:t>)。</w:t>
            </w:r>
          </w:p>
          <w:p>
            <w:pPr>
              <w:pStyle w:val="21"/>
              <w:rPr>
                <w:rFonts w:hAnsi="宋体"/>
              </w:rPr>
            </w:pPr>
            <w:r>
              <w:rPr>
                <w:rFonts w:hint="eastAsia" w:hAnsi="宋体"/>
              </w:rPr>
              <w:t>4. 专业公司具有承担本工程相应的安装施工资质。如不具备资质应委托有资质的单位承担施工，并提供相关证明资料。</w:t>
            </w:r>
          </w:p>
          <w:p>
            <w:pPr>
              <w:pStyle w:val="21"/>
              <w:rPr>
                <w:rFonts w:hAnsi="宋体"/>
              </w:rPr>
            </w:pPr>
            <w:r>
              <w:rPr>
                <w:rFonts w:hint="eastAsia" w:hAnsi="宋体"/>
              </w:rPr>
              <w:t>5．专业公司</w:t>
            </w:r>
            <w:r>
              <w:rPr>
                <w:rFonts w:hAnsi="宋体"/>
              </w:rPr>
              <w:t>必须在深圳地区设有长期固定的售后服务及维修机构</w:t>
            </w:r>
            <w:r>
              <w:rPr>
                <w:rFonts w:hint="eastAsia" w:hAnsi="宋体"/>
              </w:rPr>
              <w:t>。</w:t>
            </w:r>
          </w:p>
          <w:p>
            <w:pPr>
              <w:pStyle w:val="21"/>
              <w:rPr>
                <w:rFonts w:hAnsi="宋体"/>
              </w:rPr>
            </w:pPr>
          </w:p>
          <w:p>
            <w:pPr>
              <w:pStyle w:val="21"/>
              <w:rPr>
                <w:rFonts w:hAnsi="宋体"/>
                <w:b/>
              </w:rPr>
            </w:pPr>
            <w:r>
              <w:rPr>
                <w:rFonts w:hint="eastAsia" w:hAnsi="宋体"/>
                <w:b/>
              </w:rPr>
              <w:t>二、系统要求：</w:t>
            </w:r>
          </w:p>
          <w:p>
            <w:pPr>
              <w:pStyle w:val="21"/>
            </w:pPr>
            <w:r>
              <w:rPr>
                <w:rFonts w:hint="eastAsia" w:hAnsi="宋体"/>
              </w:rPr>
              <w:t>1.</w:t>
            </w:r>
            <w:r>
              <w:rPr>
                <w:rFonts w:hint="eastAsia"/>
              </w:rPr>
              <w:t xml:space="preserve"> 完成设计图纸和本招标文件要求的太阳能热水系统设备的深化设计（应为详细的施工图，深化设计施工图须经设计单位和建设单位审批确认）、设备材料采购、安装调试、验收、售后服务等，以及所有其它为太阳能热水设备正常运行所需的项目。</w:t>
            </w:r>
          </w:p>
          <w:p>
            <w:pPr>
              <w:pStyle w:val="21"/>
              <w:rPr>
                <w:rFonts w:hAnsi="宋体"/>
              </w:rPr>
            </w:pPr>
            <w:r>
              <w:rPr>
                <w:rFonts w:hint="eastAsia"/>
              </w:rPr>
              <w:t>2．</w:t>
            </w:r>
            <w:r>
              <w:rPr>
                <w:rFonts w:hint="eastAsia" w:hAnsi="宋体"/>
              </w:rPr>
              <w:t>所提供的太阳能热水设备及系统，应达到中华人民共和国和设备出产国有关设备及系统的设计、制造、安装、试验、验收和安全等方面的标准和规范的要求。</w:t>
            </w:r>
          </w:p>
          <w:p>
            <w:pPr>
              <w:pStyle w:val="21"/>
            </w:pPr>
            <w:r>
              <w:rPr>
                <w:rFonts w:hint="eastAsia" w:hAnsi="宋体"/>
              </w:rPr>
              <w:t>3.</w:t>
            </w:r>
            <w:r>
              <w:rPr>
                <w:rFonts w:hint="eastAsia"/>
              </w:rPr>
              <w:t xml:space="preserve"> 太阳能热水系统设备应符合设计图纸要求，并应满足本项目全天候供应</w:t>
            </w:r>
            <w:r>
              <w:rPr>
                <w:rFonts w:hint="eastAsia" w:hAnsi="宋体"/>
              </w:rPr>
              <w:t>生活热水</w:t>
            </w:r>
            <w:r>
              <w:rPr>
                <w:rFonts w:hint="eastAsia"/>
              </w:rPr>
              <w:t>的需要。</w:t>
            </w:r>
          </w:p>
          <w:p>
            <w:pPr>
              <w:pStyle w:val="21"/>
              <w:rPr>
                <w:rFonts w:hAnsi="宋体"/>
              </w:rPr>
            </w:pPr>
            <w:r>
              <w:rPr>
                <w:rFonts w:hint="eastAsia" w:hAnsi="宋体"/>
              </w:rPr>
              <w:t>4．系统所供热水的水量、水温、水压和水质应符合国家相关规范和设计图纸的要求。</w:t>
            </w:r>
          </w:p>
          <w:p>
            <w:pPr>
              <w:pStyle w:val="21"/>
              <w:rPr>
                <w:rFonts w:hAnsi="宋体"/>
              </w:rPr>
            </w:pPr>
            <w:r>
              <w:rPr>
                <w:rFonts w:hint="eastAsia" w:hAnsi="宋体"/>
              </w:rPr>
              <w:t>5. 本系统包括太阳能集热器、贮水箱、水泵、热泵机组、连接管道、钢结构支架、供电系统、控制系统及其它辅助设施。</w:t>
            </w:r>
          </w:p>
          <w:p>
            <w:pPr>
              <w:pStyle w:val="21"/>
              <w:rPr>
                <w:rFonts w:hAnsi="宋体"/>
              </w:rPr>
            </w:pPr>
            <w:r>
              <w:rPr>
                <w:rFonts w:hint="eastAsia" w:hAnsi="宋体"/>
              </w:rPr>
              <w:t>6. 系统应满足安全、经济、适用、美观的要求，并应便于安装、清洁、维护和局部更换。</w:t>
            </w:r>
          </w:p>
          <w:p>
            <w:pPr>
              <w:pStyle w:val="21"/>
              <w:rPr>
                <w:rFonts w:hAnsi="宋体"/>
              </w:rPr>
            </w:pPr>
            <w:r>
              <w:rPr>
                <w:rFonts w:hint="eastAsia" w:hAnsi="宋体"/>
              </w:rPr>
              <w:t>7. 所提供的控制系统应能够根据需要对太阳能热水系统和热泵辅助加热系统及时地进行切换、启动和调控。</w:t>
            </w:r>
          </w:p>
          <w:p>
            <w:pPr>
              <w:pStyle w:val="21"/>
              <w:rPr>
                <w:rFonts w:hAnsi="宋体"/>
              </w:rPr>
            </w:pPr>
            <w:r>
              <w:rPr>
                <w:rFonts w:hint="eastAsia" w:hAnsi="宋体"/>
              </w:rPr>
              <w:t>8. 系统中集热器、贮水箱、钢结构支架、水泵、热泵机组等主要部件的正常使用寿命不应少于10年。</w:t>
            </w:r>
          </w:p>
          <w:p>
            <w:pPr>
              <w:pStyle w:val="21"/>
              <w:rPr>
                <w:rFonts w:hAnsi="宋体"/>
              </w:rPr>
            </w:pPr>
            <w:r>
              <w:rPr>
                <w:rFonts w:hint="eastAsia" w:hAnsi="宋体"/>
              </w:rPr>
              <w:t>9. 本热水系统设备置于屋顶，所有设备安装、运行重量应在建筑物屋顶设计的安全承载范围内，并且不得破坏原有防水层。</w:t>
            </w:r>
          </w:p>
          <w:p>
            <w:pPr>
              <w:pStyle w:val="21"/>
              <w:rPr>
                <w:rFonts w:hAnsi="宋体"/>
              </w:rPr>
            </w:pPr>
            <w:r>
              <w:rPr>
                <w:rFonts w:hint="eastAsia" w:hAnsi="宋体"/>
              </w:rPr>
              <w:t>10. 系统设备及相关配件如支架、基座等应采取防腐、防锈措施或具有防腐、防锈的性能。</w:t>
            </w:r>
          </w:p>
          <w:p>
            <w:pPr>
              <w:pStyle w:val="21"/>
              <w:rPr>
                <w:rFonts w:hAnsi="宋体"/>
              </w:rPr>
            </w:pPr>
            <w:r>
              <w:rPr>
                <w:rFonts w:hint="eastAsia" w:hAnsi="宋体"/>
              </w:rPr>
              <w:t>11.系统设备及管道应采取减震及降噪措施，并应有经设计院审核同意的深化设计详图。正常运行时噪音值应在国家、广东省以及深圳市制定的相关环境噪音标准要求的范围内，并不得影响周边居民的正常生活和工作。</w:t>
            </w:r>
          </w:p>
          <w:p>
            <w:pPr>
              <w:pStyle w:val="21"/>
              <w:rPr>
                <w:rFonts w:hAnsi="宋体"/>
              </w:rPr>
            </w:pPr>
          </w:p>
          <w:p>
            <w:pPr>
              <w:pStyle w:val="21"/>
              <w:rPr>
                <w:rFonts w:hAnsi="宋体"/>
                <w:b/>
              </w:rPr>
            </w:pPr>
            <w:r>
              <w:rPr>
                <w:rFonts w:hint="eastAsia" w:hAnsi="宋体"/>
                <w:b/>
              </w:rPr>
              <w:t>三、太阳能集热器:</w:t>
            </w:r>
            <w:r>
              <w:rPr>
                <w:rFonts w:hint="eastAsia" w:hAnsi="宋体"/>
              </w:rPr>
              <w:t xml:space="preserve"> </w:t>
            </w:r>
          </w:p>
          <w:p>
            <w:pPr>
              <w:rPr>
                <w:rFonts w:ascii="宋体" w:hAnsi="宋体"/>
              </w:rPr>
            </w:pPr>
            <w:r>
              <w:rPr>
                <w:rFonts w:hint="eastAsia" w:ascii="宋体" w:hAnsi="宋体"/>
              </w:rPr>
              <w:t>1．平板集热器的技术指标应满足国家标准GB/T6424—2007的要求。</w:t>
            </w:r>
          </w:p>
          <w:p>
            <w:pPr>
              <w:rPr>
                <w:szCs w:val="21"/>
              </w:rPr>
            </w:pPr>
            <w:r>
              <w:rPr>
                <w:rFonts w:hint="eastAsia"/>
                <w:szCs w:val="21"/>
              </w:rPr>
              <w:t>2．采用高效集热板芯，</w:t>
            </w:r>
            <w:r>
              <w:rPr>
                <w:rFonts w:ascii="Arial" w:hAnsi="Arial" w:cs="Arial"/>
                <w:sz w:val="22"/>
              </w:rPr>
              <w:t>全铜</w:t>
            </w:r>
            <w:r>
              <w:rPr>
                <w:rFonts w:hint="eastAsia" w:ascii="Arial" w:hAnsi="Arial" w:cs="Arial"/>
                <w:sz w:val="22"/>
              </w:rPr>
              <w:t>流道，铝制集热片，集热片</w:t>
            </w:r>
            <w:r>
              <w:rPr>
                <w:rFonts w:ascii="Arial" w:hAnsi="Arial" w:cs="Arial"/>
                <w:sz w:val="22"/>
              </w:rPr>
              <w:t>镀黒铬</w:t>
            </w:r>
            <w:r>
              <w:rPr>
                <w:rFonts w:hint="eastAsia"/>
                <w:szCs w:val="21"/>
              </w:rPr>
              <w:t>或真空镀膜。集热器板芯</w:t>
            </w:r>
            <w:r>
              <w:rPr>
                <w:rFonts w:hint="eastAsia" w:ascii="宋体" w:hAnsi="宋体"/>
                <w:szCs w:val="21"/>
              </w:rPr>
              <w:t>制造商注册资金不低于2000万元人民币，</w:t>
            </w:r>
            <w:r>
              <w:rPr>
                <w:rFonts w:hint="eastAsia" w:ascii="宋体" w:hAnsi="宋体"/>
              </w:rPr>
              <w:t>制造商应通过ISO9001：2000质量管理体系认证，</w:t>
            </w:r>
            <w:r>
              <w:rPr>
                <w:rFonts w:hint="eastAsia" w:ascii="宋体" w:hAnsi="宋体"/>
                <w:szCs w:val="21"/>
              </w:rPr>
              <w:t>产品生产年限不低于三年。</w:t>
            </w:r>
            <w:r>
              <w:rPr>
                <w:rFonts w:hint="eastAsia" w:ascii="宋体" w:hAnsi="宋体"/>
                <w:b/>
                <w:szCs w:val="21"/>
              </w:rPr>
              <w:t>集热板参考品牌：嘉普通、兴业、五星。</w:t>
            </w:r>
          </w:p>
          <w:p>
            <w:pPr>
              <w:rPr>
                <w:szCs w:val="21"/>
              </w:rPr>
            </w:pPr>
            <w:r>
              <w:rPr>
                <w:rFonts w:hint="eastAsia"/>
                <w:szCs w:val="21"/>
              </w:rPr>
              <w:t>3．太阳能吸热板芯：吸热板芯厚度不小于0.4</w:t>
            </w:r>
            <w:r>
              <w:rPr>
                <w:szCs w:val="21"/>
              </w:rPr>
              <w:t>mm</w:t>
            </w:r>
            <w:r>
              <w:rPr>
                <w:rFonts w:hint="eastAsia"/>
                <w:szCs w:val="21"/>
              </w:rPr>
              <w:t>，吸热板芯涂层的吸收比应不低于0.92，吸热板芯涂层的发射率应不大于10%。</w:t>
            </w:r>
            <w:r>
              <w:rPr>
                <w:rFonts w:hint="eastAsia"/>
              </w:rPr>
              <w:t>表层附着力好，耐腐蚀，寿命长。</w:t>
            </w:r>
          </w:p>
          <w:p>
            <w:pPr>
              <w:rPr>
                <w:szCs w:val="21"/>
              </w:rPr>
            </w:pPr>
            <w:r>
              <w:rPr>
                <w:rFonts w:hint="eastAsia"/>
                <w:szCs w:val="21"/>
              </w:rPr>
              <w:t>4．集热器边框：铝合金材质，</w:t>
            </w:r>
            <w:r>
              <w:rPr>
                <w:rFonts w:hint="eastAsia"/>
              </w:rPr>
              <w:t>表面经过氧化处理，</w:t>
            </w:r>
            <w:r>
              <w:rPr>
                <w:rFonts w:ascii="Arial" w:hAnsi="Arial" w:cs="Arial"/>
                <w:sz w:val="22"/>
              </w:rPr>
              <w:t>深香槟色</w:t>
            </w:r>
            <w:r>
              <w:rPr>
                <w:rFonts w:hint="eastAsia" w:ascii="Arial" w:hAnsi="Arial" w:cs="Arial"/>
                <w:sz w:val="22"/>
              </w:rPr>
              <w:t>，板材</w:t>
            </w:r>
            <w:r>
              <w:rPr>
                <w:rFonts w:hint="eastAsia"/>
                <w:szCs w:val="21"/>
              </w:rPr>
              <w:t>厚度不小于1.5</w:t>
            </w:r>
            <w:r>
              <w:rPr>
                <w:szCs w:val="21"/>
              </w:rPr>
              <w:t>mm</w:t>
            </w:r>
            <w:r>
              <w:rPr>
                <w:rFonts w:hint="eastAsia"/>
                <w:szCs w:val="21"/>
              </w:rPr>
              <w:t>。</w:t>
            </w:r>
          </w:p>
          <w:p>
            <w:pPr>
              <w:rPr>
                <w:szCs w:val="21"/>
              </w:rPr>
            </w:pPr>
            <w:r>
              <w:rPr>
                <w:rFonts w:hint="eastAsia"/>
                <w:szCs w:val="21"/>
              </w:rPr>
              <w:t>5．保温层：侧翼采用聚氨酯保温，厚度不小于30</w:t>
            </w:r>
            <w:r>
              <w:rPr>
                <w:szCs w:val="21"/>
              </w:rPr>
              <w:t>mm</w:t>
            </w:r>
            <w:r>
              <w:rPr>
                <w:rFonts w:hint="eastAsia"/>
                <w:szCs w:val="21"/>
              </w:rPr>
              <w:t>；底部采用厚度不小于30</w:t>
            </w:r>
            <w:r>
              <w:rPr>
                <w:szCs w:val="21"/>
              </w:rPr>
              <w:t>mm</w:t>
            </w:r>
            <w:r>
              <w:rPr>
                <w:rFonts w:hint="eastAsia"/>
                <w:szCs w:val="21"/>
              </w:rPr>
              <w:t>的玻璃纤维棉。</w:t>
            </w:r>
          </w:p>
          <w:p>
            <w:pPr>
              <w:rPr>
                <w:szCs w:val="21"/>
              </w:rPr>
            </w:pPr>
            <w:r>
              <w:rPr>
                <w:rFonts w:hint="eastAsia"/>
                <w:szCs w:val="21"/>
              </w:rPr>
              <w:t>6．玻璃盖板：超白</w:t>
            </w:r>
            <w:r>
              <w:rPr>
                <w:rFonts w:ascii="Arial" w:hAnsi="Arial" w:cs="Arial"/>
                <w:sz w:val="22"/>
              </w:rPr>
              <w:t>布纹钢化玻璃</w:t>
            </w:r>
            <w:r>
              <w:rPr>
                <w:rFonts w:hint="eastAsia" w:ascii="Arial" w:hAnsi="Arial" w:cs="Arial"/>
                <w:sz w:val="22"/>
              </w:rPr>
              <w:t>，</w:t>
            </w:r>
            <w:r>
              <w:rPr>
                <w:rFonts w:hint="eastAsia"/>
                <w:szCs w:val="21"/>
              </w:rPr>
              <w:t>透光率89%以上，厚度不小于3.2</w:t>
            </w:r>
            <w:r>
              <w:rPr>
                <w:szCs w:val="21"/>
              </w:rPr>
              <w:t>mm</w:t>
            </w:r>
            <w:r>
              <w:rPr>
                <w:rFonts w:hint="eastAsia"/>
                <w:szCs w:val="21"/>
              </w:rPr>
              <w:t>。</w:t>
            </w:r>
          </w:p>
          <w:p>
            <w:pPr>
              <w:rPr>
                <w:szCs w:val="21"/>
              </w:rPr>
            </w:pPr>
            <w:r>
              <w:rPr>
                <w:rFonts w:hint="eastAsia"/>
                <w:szCs w:val="21"/>
              </w:rPr>
              <w:t>7．底板：热镀锌钢板，厚度不小于0.5</w:t>
            </w:r>
            <w:r>
              <w:rPr>
                <w:szCs w:val="21"/>
              </w:rPr>
              <w:t>mm</w:t>
            </w:r>
            <w:r>
              <w:rPr>
                <w:rFonts w:hint="eastAsia"/>
                <w:szCs w:val="21"/>
              </w:rPr>
              <w:t>。</w:t>
            </w:r>
          </w:p>
          <w:p>
            <w:pPr>
              <w:rPr>
                <w:szCs w:val="21"/>
              </w:rPr>
            </w:pPr>
            <w:r>
              <w:rPr>
                <w:rFonts w:hint="eastAsia"/>
                <w:szCs w:val="21"/>
              </w:rPr>
              <w:t>8．集热器厚度不少于80</w:t>
            </w:r>
            <w:r>
              <w:rPr>
                <w:szCs w:val="21"/>
              </w:rPr>
              <w:t>mm</w:t>
            </w:r>
            <w:r>
              <w:rPr>
                <w:rFonts w:hint="eastAsia"/>
                <w:szCs w:val="21"/>
              </w:rPr>
              <w:t>，集热器的瞬时效率截距应不低于0.75；集热器的总热损系数U应不大于6.0W/（</w:t>
            </w:r>
            <w:r>
              <w:rPr>
                <w:szCs w:val="21"/>
              </w:rPr>
              <w:t>m</w:t>
            </w:r>
            <w:r>
              <w:rPr>
                <w:rFonts w:hint="eastAsia"/>
                <w:szCs w:val="21"/>
                <w:vertAlign w:val="superscript"/>
              </w:rPr>
              <w:t>2</w:t>
            </w:r>
            <w:r>
              <w:rPr>
                <w:rFonts w:hint="eastAsia"/>
                <w:szCs w:val="21"/>
              </w:rPr>
              <w:t>.K）。</w:t>
            </w:r>
          </w:p>
          <w:p>
            <w:pPr>
              <w:rPr>
                <w:szCs w:val="21"/>
              </w:rPr>
            </w:pPr>
            <w:r>
              <w:rPr>
                <w:rFonts w:hint="eastAsia"/>
                <w:szCs w:val="21"/>
              </w:rPr>
              <w:t>9．集热器边框上应有品牌及型号标识。</w:t>
            </w:r>
          </w:p>
          <w:p>
            <w:pPr>
              <w:rPr>
                <w:rFonts w:ascii="宋体" w:hAnsi="宋体"/>
                <w:szCs w:val="21"/>
              </w:rPr>
            </w:pPr>
            <w:r>
              <w:rPr>
                <w:rFonts w:hint="eastAsia" w:ascii="宋体" w:hAnsi="宋体"/>
                <w:szCs w:val="21"/>
              </w:rPr>
              <w:t>10．连接件:板间采用软性铜连接件(带伸缩功能)，接管采用硬性铜连接件，专用铜封头。</w:t>
            </w:r>
            <w:r>
              <w:rPr>
                <w:rFonts w:hint="eastAsia" w:hAnsi="宋体"/>
              </w:rPr>
              <w:t>连接应密封可靠，无泄露、无扭曲变形。</w:t>
            </w:r>
          </w:p>
          <w:p>
            <w:pPr>
              <w:rPr>
                <w:rFonts w:ascii="宋体" w:hAnsi="宋体"/>
                <w:szCs w:val="21"/>
              </w:rPr>
            </w:pPr>
            <w:r>
              <w:rPr>
                <w:rFonts w:hint="eastAsia" w:ascii="宋体" w:hAnsi="宋体"/>
                <w:szCs w:val="21"/>
              </w:rPr>
              <w:t>11．排污龙头:耐腐蚀铜水嘴,型号DN20。</w:t>
            </w:r>
          </w:p>
          <w:p>
            <w:pPr>
              <w:rPr>
                <w:rFonts w:ascii="宋体" w:hAnsi="宋体"/>
                <w:szCs w:val="21"/>
              </w:rPr>
            </w:pPr>
            <w:r>
              <w:rPr>
                <w:rFonts w:hint="eastAsia" w:ascii="宋体" w:hAnsi="宋体"/>
                <w:szCs w:val="21"/>
              </w:rPr>
              <w:t>12．集热器支架:采用国标热镀锌角钢,型号∠40,须工厂整装组件并用镀锌螺栓铆固。</w:t>
            </w:r>
          </w:p>
          <w:p>
            <w:pPr>
              <w:rPr>
                <w:rFonts w:ascii="宋体" w:hAnsi="宋体"/>
                <w:szCs w:val="21"/>
              </w:rPr>
            </w:pPr>
            <w:r>
              <w:rPr>
                <w:rFonts w:hint="eastAsia" w:ascii="宋体" w:hAnsi="宋体"/>
                <w:szCs w:val="21"/>
              </w:rPr>
              <w:t>13．集热器用传感器应能承受集热器的最高空晒温度，精度为±2℃。</w:t>
            </w:r>
          </w:p>
          <w:p>
            <w:pPr>
              <w:rPr>
                <w:rFonts w:ascii="宋体" w:hAnsi="宋体"/>
              </w:rPr>
            </w:pPr>
            <w:r>
              <w:rPr>
                <w:rFonts w:hint="eastAsia" w:ascii="宋体" w:hAnsi="宋体"/>
                <w:szCs w:val="21"/>
              </w:rPr>
              <w:t>14．</w:t>
            </w:r>
            <w:r>
              <w:rPr>
                <w:rFonts w:hint="eastAsia" w:ascii="宋体" w:hAnsi="宋体"/>
              </w:rPr>
              <w:t>应具有防过热、防台风、防雷、抗雹措施。</w:t>
            </w:r>
          </w:p>
          <w:p>
            <w:pPr>
              <w:pStyle w:val="21"/>
              <w:rPr>
                <w:rFonts w:hAnsi="宋体"/>
              </w:rPr>
            </w:pPr>
            <w:r>
              <w:rPr>
                <w:rFonts w:hint="eastAsia" w:hAnsi="宋体"/>
              </w:rPr>
              <w:t>15．应能承受0.6MPa的压力。</w:t>
            </w:r>
          </w:p>
          <w:p>
            <w:pPr>
              <w:rPr>
                <w:szCs w:val="21"/>
              </w:rPr>
            </w:pPr>
            <w:r>
              <w:rPr>
                <w:rFonts w:hint="eastAsia"/>
                <w:szCs w:val="21"/>
              </w:rPr>
              <w:t>16．应提供本工程所选用平板太阳能集热器国家级检测中心的检验报告。</w:t>
            </w:r>
          </w:p>
          <w:p>
            <w:pPr>
              <w:pStyle w:val="21"/>
              <w:rPr>
                <w:rFonts w:hAnsi="宋体"/>
              </w:rPr>
            </w:pPr>
          </w:p>
          <w:p>
            <w:pPr>
              <w:pStyle w:val="21"/>
              <w:rPr>
                <w:rFonts w:hAnsi="宋体"/>
                <w:b/>
              </w:rPr>
            </w:pPr>
            <w:r>
              <w:rPr>
                <w:rFonts w:hint="eastAsia" w:hAnsi="宋体"/>
                <w:b/>
              </w:rPr>
              <w:t>四、</w:t>
            </w:r>
            <w:r>
              <w:rPr>
                <w:rFonts w:hint="eastAsia"/>
                <w:b/>
              </w:rPr>
              <w:t>不锈钢贮水箱</w:t>
            </w:r>
            <w:r>
              <w:rPr>
                <w:rFonts w:hint="eastAsia" w:hAnsi="宋体"/>
                <w:b/>
              </w:rPr>
              <w:t xml:space="preserve">: </w:t>
            </w:r>
          </w:p>
          <w:p>
            <w:pPr>
              <w:rPr>
                <w:rFonts w:ascii="宋体" w:hAnsi="宋体"/>
              </w:rPr>
            </w:pPr>
            <w:r>
              <w:rPr>
                <w:rFonts w:hint="eastAsia" w:ascii="宋体" w:hAnsi="宋体"/>
              </w:rPr>
              <w:t>1．不锈钢</w:t>
            </w:r>
            <w:r>
              <w:rPr>
                <w:rFonts w:hint="eastAsia" w:ascii="宋体" w:hAnsi="宋体"/>
                <w:sz w:val="24"/>
              </w:rPr>
              <w:t>贮</w:t>
            </w:r>
            <w:r>
              <w:rPr>
                <w:rFonts w:hint="eastAsia" w:ascii="宋体" w:hAnsi="宋体"/>
              </w:rPr>
              <w:t>水箱采用</w:t>
            </w:r>
            <w:r>
              <w:rPr>
                <w:rFonts w:hint="eastAsia"/>
              </w:rPr>
              <w:t>食品级SUS304</w:t>
            </w:r>
            <w:r>
              <w:rPr>
                <w:rFonts w:hint="eastAsia" w:ascii="宋体" w:hAnsi="宋体"/>
              </w:rPr>
              <w:t>的不锈钢组合式水箱，材质不低于国标</w:t>
            </w:r>
            <w:r>
              <w:rPr>
                <w:rFonts w:hint="eastAsia"/>
              </w:rPr>
              <w:t>oCr18Ni9</w:t>
            </w:r>
            <w:r>
              <w:rPr>
                <w:rFonts w:hint="eastAsia" w:ascii="宋体" w:hAnsi="宋体"/>
              </w:rPr>
              <w:t>不锈钢的标准，厚度应符合国标要求。</w:t>
            </w:r>
          </w:p>
          <w:p>
            <w:pPr>
              <w:rPr>
                <w:rFonts w:ascii="宋体" w:hAnsi="宋体"/>
              </w:rPr>
            </w:pPr>
            <w:r>
              <w:rPr>
                <w:rFonts w:hint="eastAsia" w:ascii="宋体" w:hAnsi="宋体"/>
              </w:rPr>
              <w:t>2．</w:t>
            </w:r>
            <w:r>
              <w:rPr>
                <w:rFonts w:hint="eastAsia"/>
              </w:rPr>
              <w:t>保温材料采用难燃的橡塑制品，厚度50mm，</w:t>
            </w:r>
            <w:r>
              <w:rPr>
                <w:rFonts w:hint="eastAsia" w:ascii="宋体" w:hAnsi="宋体"/>
              </w:rPr>
              <w:t>外表面用</w:t>
            </w:r>
            <w:r>
              <w:rPr>
                <w:rFonts w:hint="eastAsia"/>
              </w:rPr>
              <w:t>σ=0.5mm厚国标</w:t>
            </w:r>
            <w:r>
              <w:rPr>
                <w:rFonts w:hint="eastAsia"/>
                <w:szCs w:val="21"/>
              </w:rPr>
              <w:t>oCr18Ni9不锈钢板</w:t>
            </w:r>
            <w:r>
              <w:rPr>
                <w:rFonts w:hint="eastAsia" w:ascii="宋体" w:hAnsi="宋体"/>
              </w:rPr>
              <w:t>保护。</w:t>
            </w:r>
          </w:p>
          <w:p>
            <w:pPr>
              <w:rPr>
                <w:szCs w:val="21"/>
              </w:rPr>
            </w:pPr>
            <w:r>
              <w:rPr>
                <w:rFonts w:hint="eastAsia" w:ascii="宋体" w:hAnsi="宋体"/>
              </w:rPr>
              <w:t>3.</w:t>
            </w:r>
            <w:r>
              <w:rPr>
                <w:rFonts w:hint="eastAsia"/>
                <w:szCs w:val="21"/>
              </w:rPr>
              <w:t xml:space="preserve"> </w:t>
            </w:r>
            <w:r>
              <w:rPr>
                <w:rFonts w:hint="eastAsia" w:ascii="宋体" w:hAnsi="宋体"/>
              </w:rPr>
              <w:t>不锈钢</w:t>
            </w:r>
            <w:r>
              <w:rPr>
                <w:rFonts w:hint="eastAsia" w:ascii="宋体" w:hAnsi="宋体"/>
                <w:sz w:val="24"/>
              </w:rPr>
              <w:t>贮</w:t>
            </w:r>
            <w:r>
              <w:rPr>
                <w:rFonts w:hint="eastAsia" w:ascii="宋体" w:hAnsi="宋体"/>
              </w:rPr>
              <w:t>水箱</w:t>
            </w:r>
            <w:r>
              <w:rPr>
                <w:rFonts w:hint="eastAsia"/>
                <w:szCs w:val="21"/>
              </w:rPr>
              <w:t>焊缝需经防腐处理，确保长期使用无渗漏。</w:t>
            </w:r>
          </w:p>
          <w:p>
            <w:r>
              <w:rPr>
                <w:rFonts w:hint="eastAsia"/>
              </w:rPr>
              <w:t>4．</w:t>
            </w:r>
            <w:r>
              <w:rPr>
                <w:rFonts w:hint="eastAsia"/>
                <w:szCs w:val="21"/>
              </w:rPr>
              <w:t>水箱应有排气阀、排污管、检修梯及检修孔等。</w:t>
            </w:r>
          </w:p>
          <w:p>
            <w:pPr>
              <w:rPr>
                <w:rFonts w:ascii="宋体" w:hAnsi="宋体"/>
              </w:rPr>
            </w:pPr>
            <w:r>
              <w:rPr>
                <w:rFonts w:hint="eastAsia" w:ascii="宋体" w:hAnsi="宋体"/>
              </w:rPr>
              <w:t>5．贮水箱应与底座固定牢靠，确保安全。</w:t>
            </w:r>
          </w:p>
          <w:p>
            <w:pPr>
              <w:pStyle w:val="21"/>
              <w:rPr>
                <w:rFonts w:hAnsi="宋体"/>
              </w:rPr>
            </w:pPr>
            <w:r>
              <w:rPr>
                <w:rFonts w:hint="eastAsia" w:hAnsi="宋体"/>
              </w:rPr>
              <w:t>6．贮水箱应与建筑物的接地系统可靠连接。</w:t>
            </w:r>
          </w:p>
          <w:p>
            <w:pPr>
              <w:pStyle w:val="21"/>
              <w:rPr>
                <w:rFonts w:hAnsi="宋体"/>
                <w:b/>
              </w:rPr>
            </w:pPr>
          </w:p>
          <w:p>
            <w:pPr>
              <w:pStyle w:val="21"/>
              <w:rPr>
                <w:rFonts w:hAnsi="宋体"/>
              </w:rPr>
            </w:pPr>
            <w:r>
              <w:rPr>
                <w:rFonts w:hint="eastAsia" w:hAnsi="宋体"/>
                <w:b/>
              </w:rPr>
              <w:t>五、水泵:</w:t>
            </w:r>
          </w:p>
          <w:p>
            <w:pPr>
              <w:rPr>
                <w:rFonts w:ascii="宋体" w:hAnsi="宋体"/>
              </w:rPr>
            </w:pPr>
            <w:r>
              <w:rPr>
                <w:rFonts w:hint="eastAsia" w:ascii="宋体" w:hAnsi="宋体"/>
              </w:rPr>
              <w:t>1.</w:t>
            </w:r>
            <w:r>
              <w:rPr>
                <w:rFonts w:hint="eastAsia"/>
                <w:b/>
                <w:szCs w:val="21"/>
              </w:rPr>
              <w:t xml:space="preserve"> </w:t>
            </w:r>
            <w:r>
              <w:rPr>
                <w:rFonts w:hint="eastAsia"/>
                <w:szCs w:val="21"/>
              </w:rPr>
              <w:t>太阳能热水系统供热水（回水）泵及强制循环泵均采用一用一备。</w:t>
            </w:r>
          </w:p>
          <w:p>
            <w:pPr>
              <w:rPr>
                <w:rFonts w:ascii="宋体" w:hAnsi="宋体"/>
              </w:rPr>
            </w:pPr>
            <w:r>
              <w:rPr>
                <w:rFonts w:hint="eastAsia" w:ascii="宋体" w:hAnsi="宋体"/>
              </w:rPr>
              <w:t>2．热水输送泵和强制循环泵要选用低噪音水泵。</w:t>
            </w:r>
          </w:p>
          <w:p>
            <w:r>
              <w:rPr>
                <w:rFonts w:hint="eastAsia"/>
              </w:rPr>
              <w:t>3．水泵选用满足以下技术要求：</w:t>
            </w:r>
          </w:p>
          <w:p>
            <w:pPr>
              <w:ind w:firstLine="210" w:firstLineChars="100"/>
            </w:pPr>
            <w:r>
              <w:rPr>
                <w:rFonts w:hint="eastAsia"/>
              </w:rPr>
              <w:t>a符合国家或行业的生产技术标准。</w:t>
            </w:r>
          </w:p>
          <w:p>
            <w:pPr>
              <w:ind w:firstLine="210" w:firstLineChars="100"/>
            </w:pPr>
            <w:r>
              <w:rPr>
                <w:rFonts w:hint="eastAsia"/>
              </w:rPr>
              <w:t>b水泵采用离心泵，</w:t>
            </w:r>
            <w:r>
              <w:rPr>
                <w:rFonts w:hint="eastAsia" w:ascii="宋体" w:hAnsi="宋体"/>
              </w:rPr>
              <w:t>泵壳、叶轮、主轴和所有过流部件均采用不锈钢材质。</w:t>
            </w:r>
          </w:p>
          <w:p>
            <w:pPr>
              <w:ind w:firstLine="210" w:firstLineChars="100"/>
            </w:pPr>
            <w:r>
              <w:rPr>
                <w:rFonts w:hint="eastAsia"/>
              </w:rPr>
              <w:t>c泵的密封采用机械密封，采用的材料须等于或优于碳化钨。</w:t>
            </w:r>
          </w:p>
          <w:p>
            <w:pPr>
              <w:ind w:firstLine="210" w:firstLineChars="100"/>
            </w:pPr>
            <w:r>
              <w:rPr>
                <w:rFonts w:hint="eastAsia"/>
              </w:rPr>
              <w:t>d机械密封采用耐腐蚀材料，工作温度不应低于80℃。</w:t>
            </w:r>
          </w:p>
          <w:p>
            <w:pPr>
              <w:ind w:firstLine="210" w:firstLineChars="100"/>
            </w:pPr>
            <w:r>
              <w:rPr>
                <w:rFonts w:hint="eastAsia"/>
              </w:rPr>
              <w:t>e水泵的结构、选用的部件、密封材料需作出详细的说明，水泵及电机应有原生产厂成套出厂的证明书。</w:t>
            </w:r>
          </w:p>
          <w:p>
            <w:pPr>
              <w:rPr>
                <w:rFonts w:ascii="宋体" w:hAnsi="宋体"/>
              </w:rPr>
            </w:pPr>
            <w:r>
              <w:rPr>
                <w:rFonts w:hint="eastAsia"/>
              </w:rPr>
              <w:t>4．水泵</w:t>
            </w:r>
            <w:r>
              <w:t>应带配电屏（箱），</w:t>
            </w:r>
            <w:r>
              <w:rPr>
                <w:rFonts w:hint="eastAsia"/>
              </w:rPr>
              <w:t>每台泵</w:t>
            </w:r>
            <w:r>
              <w:t>应有单独的配电回路。</w:t>
            </w:r>
          </w:p>
          <w:p>
            <w:pPr>
              <w:rPr>
                <w:rFonts w:ascii="宋体" w:hAnsi="宋体"/>
              </w:rPr>
            </w:pPr>
            <w:r>
              <w:rPr>
                <w:rFonts w:hint="eastAsia" w:ascii="宋体" w:hAnsi="宋体"/>
              </w:rPr>
              <w:t>5．水泵的启动或停止由液位控制器或温差控制器控制。</w:t>
            </w:r>
          </w:p>
          <w:p>
            <w:pPr>
              <w:rPr>
                <w:rFonts w:ascii="宋体" w:hAnsi="宋体"/>
              </w:rPr>
            </w:pPr>
            <w:r>
              <w:rPr>
                <w:rFonts w:hint="eastAsia" w:ascii="宋体" w:hAnsi="宋体"/>
              </w:rPr>
              <w:t>6．水泵露天安装，应设置有效的遮雨措施。</w:t>
            </w:r>
          </w:p>
          <w:p>
            <w:pPr>
              <w:rPr>
                <w:rFonts w:ascii="宋体" w:hAnsi="宋体"/>
              </w:rPr>
            </w:pPr>
            <w:r>
              <w:rPr>
                <w:rFonts w:hint="eastAsia" w:ascii="宋体" w:hAnsi="宋体"/>
              </w:rPr>
              <w:t>7．水泵应采取减振和隔声措施。</w:t>
            </w:r>
          </w:p>
          <w:p>
            <w:pPr>
              <w:rPr>
                <w:rFonts w:ascii="宋体" w:hAnsi="宋体"/>
              </w:rPr>
            </w:pPr>
            <w:r>
              <w:rPr>
                <w:rFonts w:hint="eastAsia"/>
              </w:rPr>
              <w:t>8．水泵周围应留有检修空间，并做好接地保护。</w:t>
            </w:r>
          </w:p>
          <w:p>
            <w:pPr>
              <w:pStyle w:val="21"/>
              <w:rPr>
                <w:rFonts w:hAnsi="宋体"/>
              </w:rPr>
            </w:pPr>
          </w:p>
          <w:p>
            <w:pPr>
              <w:rPr>
                <w:rFonts w:ascii="宋体" w:hAnsi="宋体"/>
              </w:rPr>
            </w:pPr>
            <w:r>
              <w:rPr>
                <w:rFonts w:hint="eastAsia" w:hAnsi="宋体"/>
                <w:b/>
              </w:rPr>
              <w:t>六、</w:t>
            </w:r>
            <w:r>
              <w:rPr>
                <w:rFonts w:hint="eastAsia"/>
                <w:b/>
              </w:rPr>
              <w:t>热泵机组：</w:t>
            </w:r>
          </w:p>
          <w:p>
            <w:pPr>
              <w:rPr>
                <w:rFonts w:ascii="宋体" w:hAnsi="宋体"/>
              </w:rPr>
            </w:pPr>
            <w:r>
              <w:rPr>
                <w:rFonts w:hint="eastAsia" w:ascii="宋体" w:hAnsi="宋体"/>
              </w:rPr>
              <w:t>1．热泵制造商注册资本不少于1000万人民币。</w:t>
            </w:r>
          </w:p>
          <w:p>
            <w:pPr>
              <w:spacing w:line="360" w:lineRule="auto"/>
              <w:rPr>
                <w:rFonts w:ascii="宋体" w:hAnsi="宋体"/>
              </w:rPr>
            </w:pPr>
            <w:r>
              <w:rPr>
                <w:rFonts w:hint="eastAsia" w:ascii="宋体" w:hAnsi="宋体"/>
              </w:rPr>
              <w:t>2．制造商应通过ISO9001：2000质量管理体系认证。</w:t>
            </w:r>
          </w:p>
          <w:p>
            <w:pPr>
              <w:rPr>
                <w:rFonts w:ascii="宋体" w:hAnsi="宋体"/>
              </w:rPr>
            </w:pPr>
            <w:r>
              <w:rPr>
                <w:rFonts w:hint="eastAsia" w:ascii="宋体" w:hAnsi="宋体"/>
              </w:rPr>
              <w:t>3．制造商在深圳地区设有完善的售后服务机构。</w:t>
            </w:r>
          </w:p>
          <w:p>
            <w:pPr>
              <w:rPr>
                <w:rFonts w:ascii="宋体" w:hAnsi="宋体"/>
              </w:rPr>
            </w:pPr>
            <w:r>
              <w:rPr>
                <w:rFonts w:hint="eastAsia" w:ascii="宋体" w:hAnsi="宋体"/>
              </w:rPr>
              <w:t>4．</w:t>
            </w:r>
            <w:r>
              <w:rPr>
                <w:rFonts w:hint="eastAsia"/>
              </w:rPr>
              <w:t>热泵机组的规格、参数、数量需满足设计要求。</w:t>
            </w:r>
          </w:p>
          <w:p>
            <w:pPr>
              <w:pStyle w:val="21"/>
              <w:rPr>
                <w:rFonts w:hAnsi="宋体"/>
              </w:rPr>
            </w:pPr>
            <w:r>
              <w:rPr>
                <w:rFonts w:hint="eastAsia"/>
              </w:rPr>
              <w:t>5．热泵机组应符合GB/T 21362—2008《商业或工业用及类似用途的热泵热水机》的要求。</w:t>
            </w:r>
          </w:p>
          <w:p>
            <w:pPr>
              <w:spacing w:line="276" w:lineRule="auto"/>
            </w:pPr>
            <w:r>
              <w:rPr>
                <w:rFonts w:hint="eastAsia"/>
              </w:rPr>
              <w:t>6．压缩机参考品牌：谷轮、日立或三洋。</w:t>
            </w:r>
          </w:p>
          <w:p>
            <w:r>
              <w:rPr>
                <w:rFonts w:hint="eastAsia"/>
              </w:rPr>
              <w:t>7．热泵机组外壳：304不锈钢，δ=1mm；热交换器采用青铜材质。</w:t>
            </w:r>
          </w:p>
          <w:p>
            <w:pPr>
              <w:spacing w:line="276" w:lineRule="auto"/>
            </w:pPr>
            <w:r>
              <w:rPr>
                <w:rFonts w:hint="eastAsia"/>
              </w:rPr>
              <w:t>8．</w:t>
            </w:r>
            <w:r>
              <w:t>热泵</w:t>
            </w:r>
            <w:r>
              <w:rPr>
                <w:rFonts w:hint="eastAsia"/>
              </w:rPr>
              <w:t>主机散热器风扇需采用稳定高效率的风扇。</w:t>
            </w:r>
          </w:p>
          <w:p>
            <w:pPr>
              <w:spacing w:line="276" w:lineRule="auto"/>
            </w:pPr>
            <w:r>
              <w:rPr>
                <w:rFonts w:hint="eastAsia"/>
              </w:rPr>
              <w:t>9．COP（性能系数）应满足国家有关规范要求。</w:t>
            </w:r>
          </w:p>
          <w:p>
            <w:pPr>
              <w:spacing w:line="276" w:lineRule="auto"/>
            </w:pPr>
            <w:r>
              <w:rPr>
                <w:rFonts w:hint="eastAsia"/>
              </w:rPr>
              <w:t>10．热泵主机采用循环（蓄热）式主机。</w:t>
            </w:r>
          </w:p>
          <w:p>
            <w:pPr>
              <w:spacing w:line="276" w:lineRule="auto"/>
            </w:pPr>
            <w:r>
              <w:rPr>
                <w:rFonts w:hint="eastAsia"/>
              </w:rPr>
              <w:t>11．实测噪声值应满足国家规范要求。</w:t>
            </w:r>
          </w:p>
          <w:p>
            <w:pPr>
              <w:spacing w:line="276" w:lineRule="auto"/>
            </w:pPr>
            <w:r>
              <w:rPr>
                <w:rFonts w:hint="eastAsia"/>
              </w:rPr>
              <w:t>12．</w:t>
            </w:r>
            <w:r>
              <w:t>热泵</w:t>
            </w:r>
            <w:r>
              <w:rPr>
                <w:rFonts w:hint="eastAsia"/>
              </w:rPr>
              <w:t>电源形式3</w:t>
            </w:r>
            <w:r>
              <w:t>~380</w:t>
            </w:r>
            <w:r>
              <w:rPr>
                <w:rFonts w:hint="eastAsia"/>
              </w:rPr>
              <w:t>V</w:t>
            </w:r>
            <w:r>
              <w:t>±10%</w:t>
            </w:r>
            <w:r>
              <w:rPr>
                <w:rFonts w:hint="eastAsia"/>
              </w:rPr>
              <w:t>，频率50HZ。</w:t>
            </w:r>
          </w:p>
          <w:p>
            <w:r>
              <w:rPr>
                <w:rFonts w:hint="eastAsia"/>
              </w:rPr>
              <w:t>13．</w:t>
            </w:r>
            <w:r>
              <w:t>热泵</w:t>
            </w:r>
            <w:r>
              <w:rPr>
                <w:rFonts w:hint="eastAsia"/>
              </w:rPr>
              <w:t>接地要求≤10</w:t>
            </w:r>
            <w:r>
              <w:t>Ω</w:t>
            </w:r>
            <w:r>
              <w:rPr>
                <w:rFonts w:hint="eastAsia"/>
              </w:rPr>
              <w:t>。</w:t>
            </w:r>
          </w:p>
          <w:p>
            <w:r>
              <w:rPr>
                <w:rFonts w:hint="eastAsia"/>
              </w:rPr>
              <w:t>14．</w:t>
            </w:r>
            <w:r>
              <w:t>系统应带配电屏（箱），各主要用电设备应有单独的配电回路，配电开关应采用</w:t>
            </w:r>
            <w:r>
              <w:rPr>
                <w:rFonts w:hint="eastAsia"/>
              </w:rPr>
              <w:t>原装</w:t>
            </w:r>
            <w:r>
              <w:t>优质断路器。</w:t>
            </w:r>
          </w:p>
          <w:p>
            <w:pPr>
              <w:pStyle w:val="21"/>
              <w:rPr>
                <w:rFonts w:hAnsi="宋体"/>
              </w:rPr>
            </w:pPr>
          </w:p>
          <w:p>
            <w:pPr>
              <w:pStyle w:val="21"/>
              <w:rPr>
                <w:rFonts w:hAnsi="宋体"/>
                <w:b/>
              </w:rPr>
            </w:pPr>
            <w:r>
              <w:rPr>
                <w:rFonts w:hint="eastAsia" w:hAnsi="宋体"/>
                <w:b/>
              </w:rPr>
              <w:t>七、供电系统和控制系统：</w:t>
            </w:r>
          </w:p>
          <w:p>
            <w:pPr>
              <w:rPr>
                <w:rFonts w:ascii="宋体" w:hAnsi="宋体"/>
              </w:rPr>
            </w:pPr>
            <w:r>
              <w:rPr>
                <w:rFonts w:hint="eastAsia" w:ascii="宋体" w:hAnsi="宋体"/>
              </w:rPr>
              <w:t>1. 按既定流程全自动运行，无需人工值守。</w:t>
            </w:r>
          </w:p>
          <w:p>
            <w:pPr>
              <w:rPr>
                <w:rFonts w:ascii="宋体" w:hAnsi="宋体"/>
              </w:rPr>
            </w:pPr>
            <w:r>
              <w:rPr>
                <w:rFonts w:hint="eastAsia" w:ascii="宋体" w:hAnsi="宋体"/>
              </w:rPr>
              <w:t>2. 流程分为进补冷水、太阳能制热水、辅助热泵加热、供回水，并可按季度、月份、星期任意修改参数。</w:t>
            </w:r>
          </w:p>
          <w:p>
            <w:pPr>
              <w:rPr>
                <w:rFonts w:ascii="宋体" w:hAnsi="宋体"/>
              </w:rPr>
            </w:pPr>
            <w:r>
              <w:rPr>
                <w:rFonts w:hint="eastAsia" w:ascii="宋体" w:hAnsi="宋体"/>
              </w:rPr>
              <w:t>3. 应根据太阳能系统的操作要求，采用PLC控制各台水泵的启停、控制电磁阀的开关、控制辅助热泵加热系统启停。</w:t>
            </w:r>
          </w:p>
          <w:p>
            <w:pPr>
              <w:rPr>
                <w:rFonts w:ascii="宋体" w:hAnsi="宋体"/>
              </w:rPr>
            </w:pPr>
            <w:r>
              <w:rPr>
                <w:rFonts w:hint="eastAsia" w:ascii="宋体" w:hAnsi="宋体"/>
              </w:rPr>
              <w:t>4. 水泵须轮换工作。工作泵一经停止，下次启动对应的备用泵。当设备工作中出现故障时，故障设备停止工作，延时并系统自动尝试恢复运行状态，仍然出现故障时，故障设备停止工作，对应的备用设备自动进入工作状态。</w:t>
            </w:r>
          </w:p>
          <w:p>
            <w:pPr>
              <w:rPr>
                <w:rFonts w:ascii="宋体" w:hAnsi="宋体"/>
              </w:rPr>
            </w:pPr>
            <w:r>
              <w:rPr>
                <w:rFonts w:hint="eastAsia" w:ascii="宋体" w:hAnsi="宋体"/>
              </w:rPr>
              <w:t>5. 应以太阳能加热优先满足系统热水需求，太阳能系统热能不足时，热泵加热设备才启动运行。</w:t>
            </w:r>
          </w:p>
          <w:p>
            <w:pPr>
              <w:rPr>
                <w:rFonts w:ascii="宋体" w:hAnsi="宋体"/>
              </w:rPr>
            </w:pPr>
            <w:r>
              <w:rPr>
                <w:rFonts w:hint="eastAsia" w:ascii="宋体" w:hAnsi="宋体"/>
              </w:rPr>
              <w:t>6. 系统带有液位保护功能，避免系统在缺水的情况下运行。</w:t>
            </w:r>
          </w:p>
          <w:p>
            <w:pPr>
              <w:spacing w:line="240" w:lineRule="atLeast"/>
              <w:rPr>
                <w:szCs w:val="21"/>
              </w:rPr>
            </w:pPr>
            <w:r>
              <w:rPr>
                <w:rFonts w:hint="eastAsia" w:ascii="宋体" w:hAnsi="宋体"/>
              </w:rPr>
              <w:t>7. 每套设备</w:t>
            </w:r>
            <w:r>
              <w:rPr>
                <w:rFonts w:hint="eastAsia"/>
                <w:szCs w:val="21"/>
              </w:rPr>
              <w:t>应有自动和手动两种控制方式。</w:t>
            </w:r>
          </w:p>
          <w:p>
            <w:pPr>
              <w:spacing w:line="240" w:lineRule="atLeast"/>
              <w:rPr>
                <w:szCs w:val="21"/>
              </w:rPr>
            </w:pPr>
            <w:r>
              <w:rPr>
                <w:rFonts w:hint="eastAsia" w:ascii="宋体" w:hAnsi="宋体"/>
              </w:rPr>
              <w:t>8.</w:t>
            </w:r>
            <w:r>
              <w:rPr>
                <w:rFonts w:hint="eastAsia"/>
                <w:szCs w:val="21"/>
              </w:rPr>
              <w:t xml:space="preserve"> 应有观察故障的显示，带触摸屏，并对各类故障进行自检、报警功能。对可恢复的故障应能自动或手动消警，恢复正常运行。</w:t>
            </w:r>
          </w:p>
          <w:p>
            <w:pPr>
              <w:rPr>
                <w:rFonts w:ascii="宋体" w:hAnsi="宋体"/>
              </w:rPr>
            </w:pPr>
            <w:r>
              <w:rPr>
                <w:rFonts w:hint="eastAsia" w:ascii="宋体" w:hAnsi="宋体"/>
              </w:rPr>
              <w:t>9. 电器设备应有</w:t>
            </w:r>
            <w:r>
              <w:rPr>
                <w:rFonts w:hint="eastAsia"/>
                <w:szCs w:val="21"/>
              </w:rPr>
              <w:t>过载、短路、过压、缺相、欠压、过热等故障的保护功能以及</w:t>
            </w:r>
            <w:r>
              <w:rPr>
                <w:rFonts w:hint="eastAsia" w:ascii="宋体" w:hAnsi="宋体"/>
              </w:rPr>
              <w:t>接地等安全措施。</w:t>
            </w:r>
          </w:p>
          <w:p>
            <w:pPr>
              <w:pStyle w:val="21"/>
              <w:rPr>
                <w:rFonts w:hAnsi="宋体"/>
              </w:rPr>
            </w:pPr>
            <w:r>
              <w:rPr>
                <w:rFonts w:hint="eastAsia" w:hAnsi="宋体"/>
              </w:rPr>
              <w:t>10.配电箱及控制箱应符合国家有关规范。</w:t>
            </w:r>
          </w:p>
          <w:p>
            <w:pPr>
              <w:spacing w:line="240" w:lineRule="atLeast"/>
              <w:rPr>
                <w:rFonts w:ascii="宋体" w:hAnsi="宋体"/>
                <w:szCs w:val="21"/>
              </w:rPr>
            </w:pPr>
            <w:r>
              <w:rPr>
                <w:rFonts w:hint="eastAsia"/>
              </w:rPr>
              <w:t>11. 控制箱预留BA系统的通讯接口，通讯接口和通讯协议要无条件符合BA系统的要求并配合相关调试。</w:t>
            </w:r>
          </w:p>
          <w:p>
            <w:pPr>
              <w:pStyle w:val="21"/>
              <w:rPr>
                <w:rFonts w:hAnsi="宋体"/>
              </w:rPr>
            </w:pPr>
          </w:p>
          <w:p>
            <w:pPr>
              <w:spacing w:line="280" w:lineRule="exact"/>
              <w:rPr>
                <w:b/>
                <w:szCs w:val="21"/>
              </w:rPr>
            </w:pPr>
            <w:r>
              <w:rPr>
                <w:rFonts w:hint="eastAsia" w:hAnsi="宋体"/>
                <w:b/>
              </w:rPr>
              <w:t>八、</w:t>
            </w:r>
            <w:r>
              <w:rPr>
                <w:rFonts w:hint="eastAsia"/>
                <w:b/>
              </w:rPr>
              <w:t>固定基座支架</w:t>
            </w:r>
          </w:p>
          <w:p>
            <w:pPr>
              <w:pStyle w:val="21"/>
              <w:rPr>
                <w:rFonts w:hAnsi="宋体"/>
              </w:rPr>
            </w:pPr>
            <w:r>
              <w:rPr>
                <w:rFonts w:hint="eastAsia" w:hAnsi="宋体"/>
              </w:rPr>
              <w:t xml:space="preserve">1. </w:t>
            </w:r>
            <w:r>
              <w:rPr>
                <w:rFonts w:hint="eastAsia"/>
              </w:rPr>
              <w:t>太阳能集热器用钢结构支架固定，基座及预埋件应按设计要求安装在主体结构上，与主体固定牢靠。钢基座及预埋件安装前应涂防腐涂料。</w:t>
            </w:r>
          </w:p>
          <w:p>
            <w:pPr>
              <w:pStyle w:val="21"/>
              <w:rPr>
                <w:rFonts w:hAnsi="宋体"/>
              </w:rPr>
            </w:pPr>
            <w:r>
              <w:rPr>
                <w:rFonts w:hint="eastAsia" w:hAnsi="宋体"/>
              </w:rPr>
              <w:t xml:space="preserve">2. </w:t>
            </w:r>
            <w:r>
              <w:rPr>
                <w:rFonts w:hint="eastAsia"/>
              </w:rPr>
              <w:t>现场施工的基座完工后应做防水处理，采用预制支架基座应摆放平稳整齐，不得破坏防水层。</w:t>
            </w:r>
          </w:p>
          <w:p>
            <w:pPr>
              <w:pStyle w:val="21"/>
              <w:rPr>
                <w:rFonts w:hAnsi="宋体"/>
              </w:rPr>
            </w:pPr>
            <w:r>
              <w:rPr>
                <w:rFonts w:hint="eastAsia" w:hAnsi="宋体"/>
              </w:rPr>
              <w:t>3. 太阳能集热器支架应与屋顶预埋件牢固连接，并且与建筑物的接地系统可靠连接，有防雷措施，能抵抗十二级台风，抗震设防烈度7度。</w:t>
            </w:r>
          </w:p>
          <w:p>
            <w:pPr>
              <w:pStyle w:val="21"/>
              <w:rPr>
                <w:rFonts w:hAnsi="宋体"/>
              </w:rPr>
            </w:pPr>
          </w:p>
          <w:p>
            <w:pPr>
              <w:pStyle w:val="21"/>
              <w:rPr>
                <w:rFonts w:hAnsi="宋体"/>
                <w:b/>
              </w:rPr>
            </w:pPr>
            <w:r>
              <w:rPr>
                <w:rFonts w:hint="eastAsia" w:hAnsi="宋体"/>
                <w:b/>
              </w:rPr>
              <w:t>九、其他</w:t>
            </w:r>
          </w:p>
          <w:p>
            <w:pPr>
              <w:pStyle w:val="21"/>
              <w:rPr>
                <w:rFonts w:hAnsi="宋体"/>
              </w:rPr>
            </w:pPr>
            <w:r>
              <w:rPr>
                <w:rFonts w:hint="eastAsia" w:hAnsi="宋体"/>
              </w:rPr>
              <w:t>1. 管道采用薄壁不锈钢管，卡压连接。</w:t>
            </w:r>
          </w:p>
          <w:p>
            <w:pPr>
              <w:pStyle w:val="21"/>
              <w:rPr>
                <w:rFonts w:hAnsi="宋体"/>
              </w:rPr>
            </w:pPr>
            <w:r>
              <w:rPr>
                <w:rFonts w:hint="eastAsia" w:hAnsi="宋体"/>
              </w:rPr>
              <w:t>2. 管道保温采用橡塑套管保温，保温层厚度应符合设计要求，并外包</w:t>
            </w:r>
            <w:r>
              <w:rPr>
                <w:rFonts w:hint="eastAsia"/>
              </w:rPr>
              <w:t>0.5mm厚</w:t>
            </w:r>
            <w:r>
              <w:rPr>
                <w:rFonts w:hint="eastAsia" w:hAnsi="宋体"/>
              </w:rPr>
              <w:t>铝皮保护。</w:t>
            </w:r>
          </w:p>
          <w:p>
            <w:pPr>
              <w:pStyle w:val="21"/>
              <w:rPr>
                <w:rFonts w:hAnsi="宋体"/>
              </w:rPr>
            </w:pPr>
            <w:r>
              <w:rPr>
                <w:rFonts w:hint="eastAsia" w:hAnsi="宋体"/>
              </w:rPr>
              <w:t>3. 管道、保温材料、阀门的品牌及技术要求参照本技术要求表相应条目的要求。</w:t>
            </w:r>
          </w:p>
          <w:p>
            <w:pPr>
              <w:pStyle w:val="21"/>
              <w:rPr>
                <w:rFonts w:hAnsi="宋体"/>
              </w:rPr>
            </w:pPr>
          </w:p>
        </w:tc>
        <w:tc>
          <w:tcPr>
            <w:tcW w:w="997" w:type="dxa"/>
            <w:vAlign w:val="center"/>
          </w:tcPr>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p>
            <w:pPr>
              <w:rPr>
                <w:rFonts w:ascii="宋体" w:hAnsi="宋体"/>
                <w:szCs w:val="21"/>
              </w:rPr>
            </w:pPr>
          </w:p>
        </w:tc>
      </w:tr>
    </w:tbl>
    <w:p>
      <w:pPr>
        <w:rPr>
          <w:rFonts w:ascii="宋体" w:hAnsi="宋体"/>
        </w:rPr>
      </w:pPr>
    </w:p>
    <w:p>
      <w:pPr>
        <w:spacing w:line="300" w:lineRule="auto"/>
        <w:rPr>
          <w:rFonts w:ascii="宋体" w:hAnsi="宋体"/>
          <w:szCs w:val="21"/>
        </w:rPr>
      </w:pPr>
      <w:r>
        <w:rPr>
          <w:rFonts w:hint="eastAsia" w:ascii="宋体" w:hAnsi="宋体"/>
          <w:b/>
          <w:szCs w:val="21"/>
        </w:rPr>
        <w:t>说明：</w:t>
      </w:r>
      <w:r>
        <w:rPr>
          <w:rFonts w:hint="eastAsia" w:ascii="宋体" w:hAnsi="宋体"/>
          <w:szCs w:val="21"/>
        </w:rPr>
        <w:t>承包商选用的设备材料需进行品牌申报，并提供本标书要求的产品相关资料。</w:t>
      </w:r>
    </w:p>
    <w:p>
      <w:pPr>
        <w:spacing w:line="300" w:lineRule="auto"/>
        <w:rPr>
          <w:rFonts w:ascii="宋体" w:hAnsi="宋体"/>
          <w:b/>
          <w:sz w:val="32"/>
          <w:szCs w:val="32"/>
        </w:rPr>
      </w:pPr>
    </w:p>
    <w:p>
      <w:pPr>
        <w:pStyle w:val="3"/>
      </w:pPr>
      <w:bookmarkStart w:id="7" w:name="_Toc192873412"/>
      <w:r>
        <w:rPr>
          <w:rFonts w:hint="eastAsia"/>
        </w:rPr>
        <w:t>二、消防工程材料、设备技术要求表</w:t>
      </w:r>
      <w:bookmarkEnd w:id="7"/>
    </w:p>
    <w:tbl>
      <w:tblPr>
        <w:tblStyle w:val="43"/>
        <w:tblW w:w="9648" w:type="dxa"/>
        <w:tblInd w:w="0" w:type="dxa"/>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468"/>
        <w:gridCol w:w="900"/>
        <w:gridCol w:w="7200"/>
        <w:gridCol w:w="1080"/>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454" w:hRule="atLeast"/>
          <w:tblHeader/>
        </w:trPr>
        <w:tc>
          <w:tcPr>
            <w:tcW w:w="468" w:type="dxa"/>
          </w:tcPr>
          <w:p>
            <w:pPr>
              <w:spacing w:line="360" w:lineRule="auto"/>
              <w:jc w:val="center"/>
              <w:rPr>
                <w:rFonts w:ascii="宋体" w:hAnsi="宋体"/>
                <w:b/>
                <w:sz w:val="24"/>
              </w:rPr>
            </w:pPr>
          </w:p>
        </w:tc>
        <w:tc>
          <w:tcPr>
            <w:tcW w:w="900" w:type="dxa"/>
            <w:vAlign w:val="center"/>
          </w:tcPr>
          <w:p>
            <w:pPr>
              <w:spacing w:line="240" w:lineRule="atLeast"/>
              <w:jc w:val="center"/>
              <w:rPr>
                <w:rFonts w:ascii="宋体" w:hAnsi="宋体"/>
                <w:b/>
                <w:sz w:val="24"/>
              </w:rPr>
            </w:pPr>
            <w:r>
              <w:rPr>
                <w:rFonts w:hint="eastAsia" w:ascii="宋体" w:hAnsi="宋体"/>
                <w:b/>
                <w:sz w:val="24"/>
              </w:rPr>
              <w:t>产品名称</w:t>
            </w:r>
          </w:p>
        </w:tc>
        <w:tc>
          <w:tcPr>
            <w:tcW w:w="7200" w:type="dxa"/>
            <w:vAlign w:val="center"/>
          </w:tcPr>
          <w:p>
            <w:pPr>
              <w:spacing w:line="240" w:lineRule="atLeast"/>
              <w:jc w:val="center"/>
              <w:rPr>
                <w:rFonts w:ascii="宋体" w:hAnsi="宋体"/>
                <w:b/>
                <w:sz w:val="24"/>
              </w:rPr>
            </w:pPr>
            <w:r>
              <w:rPr>
                <w:rFonts w:hint="eastAsia" w:ascii="宋体" w:hAnsi="宋体"/>
                <w:b/>
                <w:sz w:val="24"/>
              </w:rPr>
              <w:t>产品技术要求</w:t>
            </w:r>
          </w:p>
        </w:tc>
        <w:tc>
          <w:tcPr>
            <w:tcW w:w="1080" w:type="dxa"/>
            <w:vAlign w:val="center"/>
          </w:tcPr>
          <w:p>
            <w:pPr>
              <w:spacing w:line="240" w:lineRule="atLeast"/>
              <w:ind w:left="11" w:leftChars="-46" w:right="-88" w:rightChars="-42" w:hanging="108" w:hangingChars="45"/>
              <w:jc w:val="center"/>
              <w:rPr>
                <w:rFonts w:ascii="宋体" w:hAnsi="宋体"/>
                <w:b/>
                <w:sz w:val="24"/>
              </w:rPr>
            </w:pPr>
            <w:r>
              <w:rPr>
                <w:rFonts w:hint="eastAsia" w:ascii="宋体" w:hAnsi="宋体"/>
                <w:b/>
                <w:sz w:val="24"/>
              </w:rPr>
              <w:t>备注</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576" w:hRule="atLeast"/>
        </w:trPr>
        <w:tc>
          <w:tcPr>
            <w:tcW w:w="468" w:type="dxa"/>
          </w:tcPr>
          <w:p>
            <w:pPr>
              <w:numPr>
                <w:ilvl w:val="0"/>
                <w:numId w:val="49"/>
              </w:numPr>
              <w:spacing w:line="480" w:lineRule="auto"/>
              <w:rPr>
                <w:rFonts w:ascii="宋体" w:hAnsi="宋体"/>
                <w:sz w:val="24"/>
              </w:rPr>
            </w:pPr>
            <w:r>
              <w:rPr>
                <w:rFonts w:hint="eastAsia" w:ascii="宋体" w:hAnsi="宋体"/>
                <w:szCs w:val="21"/>
              </w:rPr>
              <w:t>8.</w:t>
            </w:r>
          </w:p>
        </w:tc>
        <w:tc>
          <w:tcPr>
            <w:tcW w:w="900" w:type="dxa"/>
          </w:tcPr>
          <w:p>
            <w:pPr>
              <w:jc w:val="center"/>
              <w:rPr>
                <w:rFonts w:ascii="宋体" w:hAnsi="宋体" w:cs="宋体"/>
              </w:rPr>
            </w:pPr>
            <w:r>
              <w:rPr>
                <w:rFonts w:hint="eastAsia" w:ascii="宋体" w:hAnsi="宋体" w:cs="宋体"/>
              </w:rPr>
              <w:t>热镀锌</w:t>
            </w:r>
          </w:p>
          <w:p>
            <w:pPr>
              <w:spacing w:line="240" w:lineRule="atLeast"/>
              <w:rPr>
                <w:rFonts w:ascii="宋体" w:hAnsi="宋体"/>
                <w:sz w:val="24"/>
              </w:rPr>
            </w:pPr>
            <w:r>
              <w:rPr>
                <w:rFonts w:hint="eastAsia" w:ascii="宋体" w:hAnsi="宋体" w:cs="宋体"/>
              </w:rPr>
              <w:t>钢管</w:t>
            </w:r>
          </w:p>
        </w:tc>
        <w:tc>
          <w:tcPr>
            <w:tcW w:w="7200" w:type="dxa"/>
          </w:tcPr>
          <w:p>
            <w:pPr>
              <w:rPr>
                <w:rFonts w:ascii="宋体" w:hAnsi="宋体"/>
              </w:rPr>
            </w:pPr>
            <w:r>
              <w:rPr>
                <w:rFonts w:hint="eastAsia" w:ascii="宋体" w:hAnsi="宋体"/>
              </w:rPr>
              <w:t>一、商务要求：</w:t>
            </w:r>
          </w:p>
          <w:p>
            <w:pPr>
              <w:ind w:left="-99" w:leftChars="-47" w:firstLine="105" w:firstLineChars="50"/>
              <w:rPr>
                <w:rFonts w:ascii="宋体" w:hAnsi="宋体"/>
              </w:rPr>
            </w:pPr>
            <w:r>
              <w:rPr>
                <w:rFonts w:hint="eastAsia" w:ascii="宋体" w:hAnsi="宋体"/>
              </w:rPr>
              <w:t>1）制造商注册资本：不少于2000万元人民币。</w:t>
            </w:r>
          </w:p>
          <w:p>
            <w:pPr>
              <w:ind w:left="-99" w:leftChars="-47" w:firstLine="105" w:firstLineChars="50"/>
              <w:rPr>
                <w:rFonts w:ascii="宋体" w:hAnsi="宋体"/>
              </w:rPr>
            </w:pPr>
            <w:r>
              <w:rPr>
                <w:rFonts w:hint="eastAsia" w:ascii="宋体" w:hAnsi="宋体"/>
              </w:rPr>
              <w:t>2）制造商应通过ISO9001：2000质量管理体系认证。</w:t>
            </w:r>
          </w:p>
          <w:p>
            <w:pPr>
              <w:ind w:left="-99" w:leftChars="-47" w:firstLine="105" w:firstLineChars="50"/>
              <w:rPr>
                <w:rFonts w:ascii="宋体" w:hAnsi="宋体"/>
              </w:rPr>
            </w:pPr>
            <w:r>
              <w:rPr>
                <w:rFonts w:hint="eastAsia" w:ascii="宋体" w:hAnsi="宋体"/>
              </w:rPr>
              <w:t>3）产品应为省级以上名牌产品，或省级以上著名商标，或国家免检产品。</w:t>
            </w:r>
          </w:p>
          <w:p>
            <w:pPr>
              <w:ind w:left="-99" w:leftChars="-47" w:firstLine="105" w:firstLineChars="50"/>
              <w:rPr>
                <w:rFonts w:ascii="宋体" w:hAnsi="宋体"/>
              </w:rPr>
            </w:pPr>
            <w:r>
              <w:rPr>
                <w:rFonts w:hint="eastAsia" w:ascii="宋体" w:hAnsi="宋体"/>
              </w:rPr>
              <w:t>4）制造商在深圳地区设有完善的售后服务机构。</w:t>
            </w:r>
          </w:p>
          <w:p>
            <w:pPr>
              <w:ind w:left="-99" w:leftChars="-47" w:firstLine="105" w:firstLineChars="50"/>
              <w:rPr>
                <w:rFonts w:ascii="宋体" w:hAnsi="宋体"/>
              </w:rPr>
            </w:pPr>
          </w:p>
          <w:p>
            <w:pPr>
              <w:rPr>
                <w:rFonts w:ascii="宋体" w:hAnsi="宋体"/>
              </w:rPr>
            </w:pPr>
            <w:r>
              <w:rPr>
                <w:rFonts w:hint="eastAsia" w:ascii="宋体" w:hAnsi="宋体"/>
              </w:rPr>
              <w:t>二、技术要求：</w:t>
            </w:r>
          </w:p>
          <w:p>
            <w:pPr>
              <w:ind w:left="-99" w:leftChars="-47" w:firstLine="105" w:firstLineChars="50"/>
              <w:rPr>
                <w:rFonts w:ascii="宋体" w:hAnsi="宋体"/>
              </w:rPr>
            </w:pPr>
            <w:r>
              <w:rPr>
                <w:rFonts w:hint="eastAsia" w:ascii="宋体" w:hAnsi="宋体"/>
              </w:rPr>
              <w:t>1）管材应符合GB/T3091—2008《低压流体输送用镀锌焊接钢管》的要求。</w:t>
            </w:r>
          </w:p>
          <w:p>
            <w:pPr>
              <w:rPr>
                <w:rFonts w:ascii="宋体" w:hAnsi="宋体"/>
              </w:rPr>
            </w:pPr>
            <w:r>
              <w:rPr>
                <w:rFonts w:hint="eastAsia" w:ascii="宋体" w:hAnsi="宋体"/>
              </w:rPr>
              <w:t>2）管材的压力等级应</w:t>
            </w:r>
            <w:r>
              <w:rPr>
                <w:rFonts w:ascii="宋体" w:hAnsi="宋体"/>
              </w:rPr>
              <w:t>符合设计要求</w:t>
            </w:r>
            <w:r>
              <w:rPr>
                <w:rFonts w:hint="eastAsia" w:ascii="宋体" w:hAnsi="宋体"/>
              </w:rPr>
              <w:t>。</w:t>
            </w:r>
          </w:p>
          <w:p>
            <w:pPr>
              <w:ind w:left="216" w:leftChars="3" w:hanging="210" w:hangingChars="100"/>
              <w:rPr>
                <w:rFonts w:ascii="宋体" w:hAnsi="宋体"/>
                <w:szCs w:val="21"/>
              </w:rPr>
            </w:pPr>
            <w:r>
              <w:rPr>
                <w:rFonts w:hint="eastAsia" w:ascii="宋体" w:hAnsi="宋体"/>
              </w:rPr>
              <w:t>3）</w:t>
            </w:r>
            <w:r>
              <w:rPr>
                <w:rFonts w:hint="eastAsia" w:ascii="宋体" w:hAnsi="宋体"/>
                <w:szCs w:val="21"/>
              </w:rPr>
              <w:t>管材</w:t>
            </w:r>
            <w:r>
              <w:rPr>
                <w:rFonts w:ascii="宋体" w:hAnsi="宋体"/>
                <w:szCs w:val="21"/>
              </w:rPr>
              <w:t>经热浸镀锌方式在钢管内外表面镀上</w:t>
            </w:r>
            <w:r>
              <w:rPr>
                <w:rFonts w:hint="eastAsia" w:ascii="宋体" w:hAnsi="宋体"/>
                <w:szCs w:val="21"/>
              </w:rPr>
              <w:t>完整的镀锌层。</w:t>
            </w:r>
          </w:p>
          <w:p>
            <w:pPr>
              <w:ind w:left="216" w:leftChars="3" w:hanging="210" w:hangingChars="100"/>
              <w:rPr>
                <w:rFonts w:ascii="宋体" w:hAnsi="宋体"/>
              </w:rPr>
            </w:pPr>
            <w:r>
              <w:rPr>
                <w:rFonts w:hint="eastAsia" w:ascii="宋体" w:hAnsi="宋体"/>
              </w:rPr>
              <w:t>4) 连接方式：</w:t>
            </w:r>
          </w:p>
          <w:p>
            <w:pPr>
              <w:ind w:firstLine="420" w:firstLineChars="200"/>
              <w:rPr>
                <w:rFonts w:ascii="宋体" w:hAnsi="宋体"/>
              </w:rPr>
            </w:pPr>
            <w:r>
              <w:rPr>
                <w:rFonts w:ascii="宋体" w:hAnsi="宋体"/>
              </w:rPr>
              <w:t>①</w:t>
            </w:r>
            <w:r>
              <w:rPr>
                <w:rFonts w:hint="eastAsia" w:ascii="宋体" w:hAnsi="宋体"/>
              </w:rPr>
              <w:t xml:space="preserve"> 管径&lt;DN100采用螺纹连接，</w:t>
            </w:r>
          </w:p>
          <w:p>
            <w:pPr>
              <w:ind w:firstLine="420" w:firstLineChars="200"/>
              <w:rPr>
                <w:rFonts w:ascii="宋体" w:hAnsi="宋体"/>
              </w:rPr>
            </w:pPr>
            <w:r>
              <w:rPr>
                <w:rFonts w:hint="eastAsia" w:ascii="宋体" w:hAnsi="宋体"/>
              </w:rPr>
              <w:t>② 管径≥DN100采用卡箍连接。</w:t>
            </w:r>
          </w:p>
          <w:p>
            <w:pPr>
              <w:ind w:left="-420" w:leftChars="-200" w:firstLine="420" w:firstLineChars="200"/>
              <w:rPr>
                <w:rFonts w:ascii="宋体" w:hAnsi="宋体"/>
              </w:rPr>
            </w:pPr>
            <w:r>
              <w:rPr>
                <w:rFonts w:hint="eastAsia" w:ascii="宋体" w:hAnsi="宋体"/>
              </w:rPr>
              <w:t>5）管件根据设计压力要求选用热镀锌的可锻铸铁、球墨铸铁或无缝钢管件。</w:t>
            </w:r>
          </w:p>
          <w:p>
            <w:pPr>
              <w:rPr>
                <w:rFonts w:ascii="宋体" w:hAnsi="宋体"/>
              </w:rPr>
            </w:pPr>
            <w:r>
              <w:rPr>
                <w:rFonts w:hint="eastAsia"/>
                <w:b/>
                <w:szCs w:val="21"/>
              </w:rPr>
              <w:t>6）镀锌层重量应达到国标（500g / m</w:t>
            </w:r>
            <w:r>
              <w:rPr>
                <w:rFonts w:hint="eastAsia"/>
                <w:b/>
                <w:szCs w:val="21"/>
                <w:vertAlign w:val="superscript"/>
              </w:rPr>
              <w:t>2</w:t>
            </w:r>
            <w:r>
              <w:rPr>
                <w:rFonts w:hint="eastAsia"/>
                <w:b/>
                <w:szCs w:val="21"/>
              </w:rPr>
              <w:t>）的要求，并要求送检时进行检测。</w:t>
            </w:r>
          </w:p>
          <w:p>
            <w:pPr>
              <w:rPr>
                <w:rFonts w:ascii="宋体" w:hAnsi="宋体"/>
              </w:rPr>
            </w:pPr>
          </w:p>
        </w:tc>
        <w:tc>
          <w:tcPr>
            <w:tcW w:w="1080" w:type="dxa"/>
            <w:vAlign w:val="center"/>
          </w:tcPr>
          <w:p>
            <w:pPr>
              <w:adjustRightInd w:val="0"/>
              <w:snapToGrid w:val="0"/>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576" w:hRule="atLeast"/>
        </w:trPr>
        <w:tc>
          <w:tcPr>
            <w:tcW w:w="468" w:type="dxa"/>
          </w:tcPr>
          <w:p>
            <w:pPr>
              <w:numPr>
                <w:ilvl w:val="0"/>
                <w:numId w:val="49"/>
              </w:numPr>
              <w:spacing w:line="240" w:lineRule="atLeast"/>
              <w:rPr>
                <w:rFonts w:ascii="宋体" w:hAnsi="宋体"/>
                <w:sz w:val="24"/>
              </w:rPr>
            </w:pPr>
            <w:r>
              <w:rPr>
                <w:rFonts w:hint="eastAsia" w:ascii="宋体" w:hAnsi="宋体"/>
                <w:sz w:val="24"/>
              </w:rPr>
              <w:t>2</w:t>
            </w:r>
          </w:p>
        </w:tc>
        <w:tc>
          <w:tcPr>
            <w:tcW w:w="900" w:type="dxa"/>
          </w:tcPr>
          <w:p>
            <w:pPr>
              <w:spacing w:line="240" w:lineRule="atLeast"/>
              <w:rPr>
                <w:rFonts w:ascii="宋体" w:hAnsi="宋体"/>
                <w:b/>
                <w:szCs w:val="21"/>
              </w:rPr>
            </w:pPr>
            <w:r>
              <w:rPr>
                <w:rFonts w:hint="eastAsia" w:ascii="宋体" w:hAnsi="宋体"/>
                <w:szCs w:val="21"/>
              </w:rPr>
              <w:t>沟槽式连接件(卡箍)</w:t>
            </w:r>
          </w:p>
        </w:tc>
        <w:tc>
          <w:tcPr>
            <w:tcW w:w="7200" w:type="dxa"/>
            <w:vAlign w:val="center"/>
          </w:tcPr>
          <w:p>
            <w:pPr>
              <w:rPr>
                <w:rFonts w:ascii="宋体" w:hAnsi="宋体"/>
              </w:rPr>
            </w:pPr>
            <w:r>
              <w:rPr>
                <w:rFonts w:hint="eastAsia" w:ascii="宋体" w:hAnsi="宋体"/>
              </w:rPr>
              <w:t>一、</w:t>
            </w:r>
            <w:r>
              <w:rPr>
                <w:rFonts w:hint="eastAsia" w:ascii="宋体" w:hAnsi="宋体"/>
                <w:szCs w:val="21"/>
              </w:rPr>
              <w:t>商务要求：</w:t>
            </w:r>
          </w:p>
          <w:p>
            <w:pPr>
              <w:rPr>
                <w:rFonts w:ascii="宋体" w:hAnsi="宋体"/>
              </w:rPr>
            </w:pPr>
            <w:r>
              <w:rPr>
                <w:rFonts w:hint="eastAsia" w:ascii="宋体" w:hAnsi="宋体"/>
              </w:rPr>
              <w:t>1)制造商应通过ISO9001：2000质量管理体系认证。</w:t>
            </w:r>
          </w:p>
          <w:p>
            <w:pPr>
              <w:rPr>
                <w:rFonts w:ascii="宋体" w:hAnsi="宋体"/>
              </w:rPr>
            </w:pPr>
            <w:r>
              <w:rPr>
                <w:rFonts w:hint="eastAsia" w:ascii="宋体" w:hAnsi="宋体"/>
              </w:rPr>
              <w:t>2)制造商注册资本：不少于1000万人民币。</w:t>
            </w:r>
          </w:p>
          <w:p>
            <w:pPr>
              <w:rPr>
                <w:rFonts w:ascii="宋体" w:hAnsi="宋体"/>
              </w:rPr>
            </w:pPr>
            <w:r>
              <w:rPr>
                <w:rFonts w:hint="eastAsia" w:ascii="宋体" w:hAnsi="宋体"/>
              </w:rPr>
              <w:t>3)制造商在深圳地区设有完善的售后服务机构。</w:t>
            </w:r>
          </w:p>
          <w:p>
            <w:pPr>
              <w:rPr>
                <w:rFonts w:ascii="宋体" w:hAnsi="宋体"/>
              </w:rPr>
            </w:pPr>
            <w:r>
              <w:rPr>
                <w:rFonts w:hint="eastAsia" w:ascii="宋体" w:hAnsi="宋体"/>
              </w:rPr>
              <w:t>4)产品必须经过FM或UL认证。</w:t>
            </w:r>
          </w:p>
          <w:p>
            <w:pPr>
              <w:rPr>
                <w:rFonts w:ascii="宋体" w:hAnsi="宋体"/>
              </w:rPr>
            </w:pPr>
          </w:p>
          <w:p>
            <w:pPr>
              <w:rPr>
                <w:rFonts w:ascii="宋体" w:hAnsi="宋体"/>
              </w:rPr>
            </w:pPr>
            <w:r>
              <w:rPr>
                <w:rFonts w:hint="eastAsia" w:ascii="宋体" w:hAnsi="宋体"/>
              </w:rPr>
              <w:t>二、技术要求：</w:t>
            </w:r>
          </w:p>
          <w:p>
            <w:pPr>
              <w:rPr>
                <w:rFonts w:ascii="宋体" w:hAnsi="宋体"/>
              </w:rPr>
            </w:pPr>
            <w:r>
              <w:rPr>
                <w:rFonts w:hint="eastAsia" w:ascii="宋体" w:hAnsi="宋体"/>
              </w:rPr>
              <w:t>1)沟槽式接头质量应符合CJ/156-2001《沟槽式管接头》要求。</w:t>
            </w:r>
          </w:p>
          <w:p>
            <w:pPr>
              <w:rPr>
                <w:rFonts w:ascii="宋体" w:hAnsi="宋体"/>
              </w:rPr>
            </w:pPr>
            <w:r>
              <w:rPr>
                <w:rFonts w:hint="eastAsia" w:ascii="宋体" w:hAnsi="宋体"/>
              </w:rPr>
              <w:t>2)采用优质球墨铸铁材料，应具有不易生锈，强度高，韧性好，延伸性好，还具有较强的防震吸震性能。</w:t>
            </w:r>
          </w:p>
          <w:p>
            <w:pPr>
              <w:rPr>
                <w:rFonts w:ascii="宋体" w:hAnsi="宋体"/>
              </w:rPr>
            </w:pPr>
            <w:r>
              <w:rPr>
                <w:rFonts w:hint="eastAsia" w:ascii="宋体" w:hAnsi="宋体"/>
              </w:rPr>
              <w:t>3)密封材料采用优质橡胶材料，严禁使用再生橡胶。具有较好的抗老化和耐磨性。</w:t>
            </w:r>
          </w:p>
          <w:p>
            <w:pPr>
              <w:rPr>
                <w:rFonts w:ascii="宋体" w:hAnsi="宋体"/>
              </w:rPr>
            </w:pPr>
            <w:r>
              <w:rPr>
                <w:rFonts w:hint="eastAsia" w:ascii="宋体" w:hAnsi="宋体"/>
              </w:rPr>
              <w:t>4)符合设计及有关规范要求。</w:t>
            </w:r>
          </w:p>
          <w:p>
            <w:pPr>
              <w:rPr>
                <w:rFonts w:ascii="宋体" w:hAnsi="宋体"/>
              </w:rPr>
            </w:pPr>
          </w:p>
        </w:tc>
        <w:tc>
          <w:tcPr>
            <w:tcW w:w="1080" w:type="dxa"/>
            <w:vAlign w:val="center"/>
          </w:tcPr>
          <w:p>
            <w:pPr>
              <w:adjustRightInd w:val="0"/>
              <w:snapToGrid w:val="0"/>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rPr>
                <w:rFonts w:ascii="宋体" w:hAnsi="宋体"/>
                <w:bCs/>
                <w:sz w:val="24"/>
              </w:rPr>
            </w:pPr>
            <w:r>
              <w:rPr>
                <w:rFonts w:hint="eastAsia" w:ascii="宋体" w:hAnsi="宋体"/>
                <w:szCs w:val="21"/>
              </w:rPr>
              <w:t>10.</w:t>
            </w:r>
          </w:p>
        </w:tc>
        <w:tc>
          <w:tcPr>
            <w:tcW w:w="900" w:type="dxa"/>
          </w:tcPr>
          <w:p>
            <w:pPr>
              <w:jc w:val="center"/>
            </w:pPr>
            <w:r>
              <w:rPr>
                <w:rFonts w:hint="eastAsia"/>
              </w:rPr>
              <w:t>阀门</w:t>
            </w:r>
          </w:p>
          <w:p>
            <w:pPr>
              <w:spacing w:line="240" w:lineRule="atLeast"/>
              <w:rPr>
                <w:rFonts w:ascii="宋体" w:hAnsi="宋体"/>
                <w:bCs/>
                <w:sz w:val="24"/>
              </w:rPr>
            </w:pPr>
            <w:r>
              <w:rPr>
                <w:rFonts w:hint="eastAsia"/>
              </w:rPr>
              <w:t>（闸阀、蝶阀、截止阀、（消声）止回阀、减压阀、自动排气阀、多动能水力控制阀、Y型管道过滤器、倒流防止器等）</w:t>
            </w:r>
          </w:p>
        </w:tc>
        <w:tc>
          <w:tcPr>
            <w:tcW w:w="7200" w:type="dxa"/>
          </w:tcPr>
          <w:p>
            <w:pPr>
              <w:rPr>
                <w:rFonts w:ascii="宋体" w:hAnsi="宋体"/>
              </w:rPr>
            </w:pPr>
            <w:r>
              <w:rPr>
                <w:rFonts w:hint="eastAsia" w:ascii="宋体" w:hAnsi="宋体"/>
              </w:rPr>
              <w:t>一、商务要求：</w:t>
            </w:r>
          </w:p>
          <w:p>
            <w:pPr>
              <w:rPr>
                <w:rFonts w:ascii="宋体" w:hAnsi="宋体"/>
              </w:rPr>
            </w:pPr>
            <w:r>
              <w:rPr>
                <w:rFonts w:hint="eastAsia" w:ascii="宋体" w:hAnsi="宋体"/>
              </w:rPr>
              <w:t>1）</w:t>
            </w:r>
            <w:r>
              <w:rPr>
                <w:rFonts w:ascii="宋体" w:hAnsi="宋体"/>
              </w:rPr>
              <w:t>营业执照所示营业范围应符合要求</w:t>
            </w:r>
            <w:r>
              <w:rPr>
                <w:rFonts w:hint="eastAsia" w:ascii="宋体" w:hAnsi="宋体"/>
              </w:rPr>
              <w:t>。</w:t>
            </w:r>
          </w:p>
          <w:p>
            <w:pPr>
              <w:rPr>
                <w:rFonts w:ascii="宋体" w:hAnsi="宋体"/>
              </w:rPr>
            </w:pPr>
            <w:r>
              <w:rPr>
                <w:rFonts w:hint="eastAsia" w:ascii="宋体" w:hAnsi="宋体"/>
              </w:rPr>
              <w:t>2）制造商注册资本：不少于3000万人民币。</w:t>
            </w:r>
          </w:p>
          <w:p>
            <w:pPr>
              <w:spacing w:line="360" w:lineRule="auto"/>
              <w:rPr>
                <w:rFonts w:ascii="宋体" w:hAnsi="宋体"/>
              </w:rPr>
            </w:pPr>
            <w:r>
              <w:rPr>
                <w:rFonts w:hint="eastAsia" w:ascii="宋体" w:hAnsi="宋体"/>
              </w:rPr>
              <w:t>3）制造商应通过ISO9001：2000质量管理体系认证及ISO14001环境管理体系认证。</w:t>
            </w:r>
          </w:p>
          <w:p>
            <w:pPr>
              <w:rPr>
                <w:rFonts w:ascii="宋体" w:hAnsi="宋体"/>
              </w:rPr>
            </w:pPr>
            <w:r>
              <w:rPr>
                <w:rFonts w:hint="eastAsia" w:ascii="宋体" w:hAnsi="宋体"/>
              </w:rPr>
              <w:t>4）制造商在深圳地区设有完善的售后服务机构。</w:t>
            </w:r>
          </w:p>
          <w:p>
            <w:pPr>
              <w:rPr>
                <w:rFonts w:ascii="宋体" w:hAnsi="宋体"/>
              </w:rPr>
            </w:pPr>
          </w:p>
          <w:p>
            <w:pPr>
              <w:rPr>
                <w:rFonts w:ascii="宋体" w:hAnsi="宋体"/>
              </w:rPr>
            </w:pPr>
            <w:r>
              <w:rPr>
                <w:rFonts w:hint="eastAsia" w:ascii="宋体" w:hAnsi="宋体"/>
              </w:rPr>
              <w:t>二、技术要求：</w:t>
            </w:r>
          </w:p>
          <w:p>
            <w:pPr>
              <w:rPr>
                <w:rFonts w:ascii="宋体" w:hAnsi="宋体"/>
              </w:rPr>
            </w:pPr>
            <w:r>
              <w:rPr>
                <w:rFonts w:hint="eastAsia" w:ascii="宋体" w:hAnsi="宋体"/>
              </w:rPr>
              <w:t>1）阀门选型、压力等级应符合国家有关规范及设计要求。</w:t>
            </w:r>
          </w:p>
          <w:p>
            <w:pPr>
              <w:rPr>
                <w:rFonts w:ascii="宋体" w:hAnsi="宋体"/>
              </w:rPr>
            </w:pPr>
            <w:r>
              <w:rPr>
                <w:rFonts w:hint="eastAsia" w:ascii="宋体" w:hAnsi="宋体"/>
              </w:rPr>
              <w:t>2）符合现行的国家或行业的生产技术标准。</w:t>
            </w:r>
          </w:p>
          <w:p>
            <w:pPr>
              <w:rPr>
                <w:rFonts w:ascii="宋体" w:hAnsi="宋体"/>
              </w:rPr>
            </w:pPr>
            <w:r>
              <w:rPr>
                <w:rFonts w:hint="eastAsia" w:ascii="宋体" w:hAnsi="宋体"/>
              </w:rPr>
              <w:t>3）一般情况下，口径</w:t>
            </w:r>
            <w:r>
              <w:rPr>
                <w:rFonts w:ascii="Trebuchet MS" w:hAnsi="Trebuchet MS"/>
                <w:sz w:val="32"/>
                <w:szCs w:val="32"/>
              </w:rPr>
              <w:t>≤</w:t>
            </w:r>
            <w:r>
              <w:rPr>
                <w:rFonts w:ascii="宋体" w:hAnsi="宋体"/>
                <w:sz w:val="32"/>
                <w:szCs w:val="32"/>
              </w:rPr>
              <w:t>50</w:t>
            </w:r>
            <w:r>
              <w:rPr>
                <w:rFonts w:hint="eastAsia" w:ascii="宋体" w:hAnsi="宋体"/>
              </w:rPr>
              <w:t>毫米的阀门采用铜阀；口径</w:t>
            </w:r>
            <w:r>
              <w:rPr>
                <w:rFonts w:ascii="Trebuchet MS" w:hAnsi="Trebuchet MS"/>
                <w:sz w:val="32"/>
                <w:szCs w:val="32"/>
              </w:rPr>
              <w:t>&gt;</w:t>
            </w:r>
            <w:r>
              <w:rPr>
                <w:rFonts w:ascii="宋体" w:hAnsi="宋体"/>
                <w:sz w:val="32"/>
                <w:szCs w:val="32"/>
              </w:rPr>
              <w:t>50</w:t>
            </w:r>
            <w:r>
              <w:rPr>
                <w:rFonts w:hint="eastAsia" w:ascii="宋体" w:hAnsi="宋体"/>
              </w:rPr>
              <w:t>毫米的阀门采用球墨铸铁阀。</w:t>
            </w:r>
          </w:p>
          <w:p>
            <w:pPr>
              <w:rPr>
                <w:rFonts w:ascii="宋体" w:hAnsi="宋体"/>
              </w:rPr>
            </w:pPr>
            <w:r>
              <w:rPr>
                <w:rFonts w:hint="eastAsia" w:ascii="宋体" w:hAnsi="宋体"/>
              </w:rPr>
              <w:t>4）弹性座封闸阀材质要求：</w:t>
            </w:r>
          </w:p>
          <w:p>
            <w:pPr>
              <w:ind w:left="420"/>
              <w:rPr>
                <w:rFonts w:ascii="宋体" w:hAnsi="宋体"/>
              </w:rPr>
            </w:pPr>
            <w:r>
              <w:rPr>
                <w:rFonts w:hint="eastAsia" w:ascii="宋体" w:hAnsi="宋体"/>
              </w:rPr>
              <w:t>①阀体、阀盖采用球墨铸铁，表面采用无毒环保的环氧树脂喷涂。</w:t>
            </w:r>
          </w:p>
          <w:p>
            <w:pPr>
              <w:ind w:left="420"/>
              <w:rPr>
                <w:rFonts w:ascii="宋体" w:hAnsi="宋体"/>
              </w:rPr>
            </w:pPr>
            <w:r>
              <w:rPr>
                <w:rFonts w:hint="eastAsia" w:ascii="宋体" w:hAnsi="宋体"/>
              </w:rPr>
              <w:t>②闸板骨架为球墨铸铁整体铸造，骨架内外表面整体包胶，包胶材质应为无毒环保的橡胶。</w:t>
            </w:r>
          </w:p>
          <w:p>
            <w:pPr>
              <w:ind w:left="630" w:leftChars="200" w:hanging="210" w:hangingChars="100"/>
              <w:rPr>
                <w:rFonts w:ascii="宋体" w:hAnsi="宋体"/>
              </w:rPr>
            </w:pPr>
            <w:r>
              <w:rPr>
                <w:rFonts w:hint="eastAsia" w:ascii="宋体" w:hAnsi="宋体"/>
              </w:rPr>
              <w:t>③阀杆采用不锈钢材料。阀杆螺母采用铜合金，其硬度和强度均大于阀杆。</w:t>
            </w:r>
          </w:p>
          <w:p>
            <w:pPr>
              <w:ind w:left="630" w:leftChars="200" w:hanging="210" w:hangingChars="100"/>
              <w:rPr>
                <w:rFonts w:ascii="宋体" w:hAnsi="宋体"/>
              </w:rPr>
            </w:pPr>
            <w:r>
              <w:rPr>
                <w:rFonts w:hint="eastAsia" w:ascii="宋体" w:hAnsi="宋体"/>
              </w:rPr>
              <w:t>④密封材料采用无毒环保的橡胶。</w:t>
            </w:r>
          </w:p>
          <w:p>
            <w:pPr>
              <w:numPr>
                <w:ilvl w:val="0"/>
                <w:numId w:val="25"/>
              </w:numPr>
              <w:rPr>
                <w:rFonts w:ascii="宋体" w:hAnsi="宋体"/>
              </w:rPr>
            </w:pPr>
            <w:r>
              <w:rPr>
                <w:rFonts w:hint="eastAsia" w:ascii="宋体" w:hAnsi="宋体"/>
              </w:rPr>
              <w:t>蝶阀材质及型式要求：</w:t>
            </w:r>
          </w:p>
          <w:p>
            <w:pPr>
              <w:numPr>
                <w:ilvl w:val="0"/>
                <w:numId w:val="30"/>
              </w:numPr>
              <w:tabs>
                <w:tab w:val="left" w:pos="780"/>
                <w:tab w:val="clear" w:pos="1260"/>
              </w:tabs>
              <w:ind w:left="780" w:hanging="360"/>
              <w:rPr>
                <w:rFonts w:ascii="宋体" w:hAnsi="宋体"/>
              </w:rPr>
            </w:pPr>
            <w:r>
              <w:rPr>
                <w:rFonts w:hint="eastAsia" w:ascii="宋体" w:hAnsi="宋体"/>
              </w:rPr>
              <w:t>阀体采用球墨铸铁，表面采用无毒环保的环氧树脂喷涂。</w:t>
            </w:r>
          </w:p>
          <w:p>
            <w:pPr>
              <w:numPr>
                <w:ilvl w:val="0"/>
                <w:numId w:val="30"/>
              </w:numPr>
              <w:tabs>
                <w:tab w:val="left" w:pos="780"/>
                <w:tab w:val="clear" w:pos="1260"/>
              </w:tabs>
              <w:ind w:left="780" w:hanging="360"/>
              <w:rPr>
                <w:rFonts w:ascii="宋体" w:hAnsi="宋体"/>
              </w:rPr>
            </w:pPr>
            <w:r>
              <w:rPr>
                <w:rFonts w:hint="eastAsia" w:ascii="宋体" w:hAnsi="宋体"/>
              </w:rPr>
              <w:t>蝶板采用不锈钢材料或球墨铸铁整体包胶。</w:t>
            </w:r>
          </w:p>
          <w:p>
            <w:pPr>
              <w:ind w:firstLine="420" w:firstLineChars="200"/>
              <w:rPr>
                <w:rFonts w:ascii="宋体" w:hAnsi="宋体"/>
              </w:rPr>
            </w:pPr>
            <w:r>
              <w:rPr>
                <w:rFonts w:hint="eastAsia" w:ascii="宋体" w:hAnsi="宋体"/>
              </w:rPr>
              <w:t>③阀轴采用不锈钢材料。</w:t>
            </w:r>
          </w:p>
          <w:p>
            <w:pPr>
              <w:ind w:firstLine="420" w:firstLineChars="200"/>
              <w:rPr>
                <w:rFonts w:ascii="宋体" w:hAnsi="宋体"/>
              </w:rPr>
            </w:pPr>
            <w:r>
              <w:rPr>
                <w:rFonts w:hint="eastAsia" w:ascii="宋体" w:hAnsi="宋体"/>
              </w:rPr>
              <w:t>④密封材料采用丁晴橡胶或三元乙丙橡胶。</w:t>
            </w:r>
          </w:p>
          <w:p>
            <w:pPr>
              <w:ind w:firstLine="420" w:firstLineChars="200"/>
              <w:rPr>
                <w:rFonts w:ascii="宋体" w:hAnsi="宋体"/>
              </w:rPr>
            </w:pPr>
            <w:r>
              <w:rPr>
                <w:rFonts w:hint="eastAsia" w:ascii="宋体" w:hAnsi="宋体"/>
              </w:rPr>
              <w:t>⑤</w:t>
            </w:r>
            <w:r>
              <w:rPr>
                <w:rFonts w:ascii="宋体" w:hAnsi="宋体"/>
              </w:rPr>
              <w:t>DNl00</w:t>
            </w:r>
            <w:r>
              <w:rPr>
                <w:rFonts w:hint="eastAsia" w:ascii="宋体" w:hAnsi="宋体"/>
              </w:rPr>
              <w:t>以下采用手柄式，≥</w:t>
            </w:r>
            <w:r>
              <w:rPr>
                <w:rFonts w:ascii="宋体" w:hAnsi="宋体"/>
              </w:rPr>
              <w:t>DNl00</w:t>
            </w:r>
            <w:r>
              <w:rPr>
                <w:rFonts w:hint="eastAsia" w:ascii="宋体" w:hAnsi="宋体"/>
              </w:rPr>
              <w:t>采用涡轮式。</w:t>
            </w:r>
          </w:p>
          <w:p>
            <w:pPr>
              <w:rPr>
                <w:rFonts w:ascii="宋体" w:hAnsi="宋体"/>
              </w:rPr>
            </w:pPr>
            <w:r>
              <w:rPr>
                <w:rFonts w:hint="eastAsia" w:ascii="宋体" w:hAnsi="宋体"/>
              </w:rPr>
              <w:t>6）橡胶板止回阀材质要求：</w:t>
            </w:r>
          </w:p>
          <w:p>
            <w:pPr>
              <w:ind w:left="420"/>
              <w:rPr>
                <w:rFonts w:ascii="宋体" w:hAnsi="宋体"/>
              </w:rPr>
            </w:pPr>
            <w:r>
              <w:rPr>
                <w:rFonts w:hint="eastAsia" w:ascii="宋体" w:hAnsi="宋体"/>
              </w:rPr>
              <w:t>①阀体、阀盖采用球墨铸铁，表面采用无毒环保的环氧树脂喷涂。</w:t>
            </w:r>
          </w:p>
          <w:p>
            <w:pPr>
              <w:ind w:firstLine="420" w:firstLineChars="200"/>
              <w:rPr>
                <w:rFonts w:ascii="宋体" w:hAnsi="宋体"/>
              </w:rPr>
            </w:pPr>
            <w:r>
              <w:rPr>
                <w:rFonts w:hint="eastAsia" w:ascii="宋体" w:hAnsi="宋体"/>
              </w:rPr>
              <w:t>②阀瓣采用碳钢+强化尼龙纤维+NBR橡胶一体成型，全被覆式包胶。</w:t>
            </w:r>
          </w:p>
          <w:p>
            <w:pPr>
              <w:rPr>
                <w:rFonts w:ascii="宋体" w:hAnsi="宋体"/>
              </w:rPr>
            </w:pPr>
            <w:r>
              <w:rPr>
                <w:rFonts w:hint="eastAsia" w:ascii="宋体" w:hAnsi="宋体"/>
              </w:rPr>
              <w:t>7）水力控制阀材质要求：</w:t>
            </w:r>
          </w:p>
          <w:p>
            <w:pPr>
              <w:ind w:firstLine="420" w:firstLineChars="200"/>
              <w:rPr>
                <w:rFonts w:ascii="宋体" w:hAnsi="宋体"/>
              </w:rPr>
            </w:pPr>
            <w:r>
              <w:rPr>
                <w:rFonts w:hint="eastAsia" w:ascii="宋体" w:hAnsi="宋体"/>
              </w:rPr>
              <w:t>①阀体、阀盖采用球墨铸铁，表面采用无毒环保的环氧树脂喷涂。</w:t>
            </w:r>
          </w:p>
          <w:p>
            <w:pPr>
              <w:ind w:firstLine="420" w:firstLineChars="200"/>
              <w:rPr>
                <w:rFonts w:ascii="宋体" w:hAnsi="宋体"/>
              </w:rPr>
            </w:pPr>
            <w:r>
              <w:rPr>
                <w:rFonts w:hint="eastAsia" w:ascii="宋体" w:hAnsi="宋体"/>
              </w:rPr>
              <w:t>②阀杆采用不锈钢材料。</w:t>
            </w:r>
          </w:p>
          <w:p>
            <w:pPr>
              <w:ind w:firstLine="420" w:firstLineChars="200"/>
              <w:rPr>
                <w:rFonts w:ascii="宋体" w:hAnsi="宋体"/>
              </w:rPr>
            </w:pPr>
            <w:r>
              <w:rPr>
                <w:rFonts w:hint="eastAsia" w:ascii="宋体" w:hAnsi="宋体"/>
              </w:rPr>
              <w:t>③膜片采用丁晴尼龙强化橡胶或三元乙丙尼龙强化橡胶。</w:t>
            </w:r>
          </w:p>
          <w:p>
            <w:pPr>
              <w:ind w:left="420" w:leftChars="200"/>
              <w:rPr>
                <w:rFonts w:ascii="宋体" w:hAnsi="宋体"/>
              </w:rPr>
            </w:pPr>
            <w:r>
              <w:rPr>
                <w:rFonts w:hint="eastAsia" w:ascii="宋体" w:hAnsi="宋体"/>
              </w:rPr>
              <w:t>④密封材料采用无毒环保的橡胶。</w:t>
            </w:r>
          </w:p>
          <w:p>
            <w:pPr>
              <w:ind w:left="420" w:leftChars="200"/>
              <w:rPr>
                <w:rFonts w:ascii="宋体" w:hAnsi="宋体"/>
              </w:rPr>
            </w:pPr>
            <w:r>
              <w:rPr>
                <w:rFonts w:hint="eastAsia" w:ascii="宋体" w:hAnsi="宋体"/>
              </w:rPr>
              <w:t>⑤弹簧、阀座、压板、阀盘采用铜合金或不锈钢。</w:t>
            </w:r>
          </w:p>
          <w:p>
            <w:pPr>
              <w:rPr>
                <w:rFonts w:ascii="宋体" w:hAnsi="宋体"/>
              </w:rPr>
            </w:pPr>
            <w:r>
              <w:rPr>
                <w:rFonts w:hint="eastAsia" w:ascii="宋体" w:hAnsi="宋体"/>
              </w:rPr>
              <w:t>8）铜阀材质要求：</w:t>
            </w:r>
          </w:p>
          <w:p>
            <w:pPr>
              <w:ind w:left="420"/>
              <w:rPr>
                <w:rFonts w:ascii="宋体" w:hAnsi="宋体"/>
              </w:rPr>
            </w:pPr>
            <w:r>
              <w:rPr>
                <w:rFonts w:hint="eastAsia" w:ascii="宋体" w:hAnsi="宋体"/>
              </w:rPr>
              <w:t>①阀体、阀盖、阀杆、阀瓣全部采用黄铜材质。</w:t>
            </w:r>
          </w:p>
          <w:p>
            <w:pPr>
              <w:ind w:left="420"/>
              <w:rPr>
                <w:rFonts w:ascii="宋体" w:hAnsi="宋体"/>
              </w:rPr>
            </w:pPr>
            <w:r>
              <w:rPr>
                <w:rFonts w:hint="eastAsia" w:ascii="宋体" w:hAnsi="宋体"/>
              </w:rPr>
              <w:t>②填料采用聚四氟乙烯。</w:t>
            </w:r>
          </w:p>
          <w:p>
            <w:pPr>
              <w:rPr>
                <w:rFonts w:ascii="宋体" w:hAnsi="宋体"/>
              </w:rPr>
            </w:pPr>
            <w:r>
              <w:rPr>
                <w:rFonts w:hint="eastAsia" w:ascii="宋体" w:hAnsi="宋体"/>
              </w:rPr>
              <w:t>9）对阀门标牌的要求：</w:t>
            </w:r>
          </w:p>
          <w:p>
            <w:pPr>
              <w:rPr>
                <w:rFonts w:ascii="宋体" w:hAnsi="宋体"/>
              </w:rPr>
            </w:pPr>
            <w:r>
              <w:rPr>
                <w:rFonts w:hint="eastAsia" w:ascii="宋体" w:hAnsi="宋体"/>
              </w:rPr>
              <w:t>阀门厂应给每个阀门一个固定的编号，其编号和阀门型号、口径、公称压力、厂名、生产日期等阀门标牌内容一起固定在阀体上。</w:t>
            </w:r>
          </w:p>
          <w:p>
            <w:pPr>
              <w:rPr>
                <w:rFonts w:ascii="宋体" w:hAnsi="宋体"/>
              </w:rPr>
            </w:pPr>
          </w:p>
        </w:tc>
        <w:tc>
          <w:tcPr>
            <w:tcW w:w="1080" w:type="dxa"/>
            <w:vAlign w:val="center"/>
          </w:tcPr>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p>
            <w:pPr>
              <w:rPr>
                <w:rFonts w:ascii="宋体" w:hAnsi="宋体"/>
              </w:rPr>
            </w:pPr>
          </w:p>
          <w:p>
            <w:pPr>
              <w:spacing w:line="240" w:lineRule="atLeast"/>
              <w:rPr>
                <w:rFonts w:ascii="宋体" w:hAnsi="宋体"/>
                <w:sz w:val="24"/>
              </w:rPr>
            </w:pPr>
          </w:p>
          <w:p>
            <w:pPr>
              <w:spacing w:line="240" w:lineRule="atLeast"/>
              <w:rPr>
                <w:rFonts w:ascii="宋体" w:hAnsi="宋体"/>
                <w:sz w:val="24"/>
              </w:rPr>
            </w:pPr>
          </w:p>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jc w:val="center"/>
              <w:rPr>
                <w:rFonts w:ascii="宋体" w:hAnsi="宋体"/>
                <w:sz w:val="24"/>
              </w:rPr>
            </w:pPr>
            <w:r>
              <w:rPr>
                <w:rFonts w:hint="eastAsia" w:ascii="宋体" w:hAnsi="宋体"/>
                <w:sz w:val="24"/>
              </w:rPr>
              <w:t>4</w:t>
            </w:r>
          </w:p>
        </w:tc>
        <w:tc>
          <w:tcPr>
            <w:tcW w:w="900" w:type="dxa"/>
          </w:tcPr>
          <w:p>
            <w:pPr>
              <w:spacing w:line="240" w:lineRule="atLeast"/>
              <w:rPr>
                <w:rFonts w:ascii="宋体" w:hAnsi="宋体"/>
                <w:sz w:val="24"/>
              </w:rPr>
            </w:pPr>
            <w:r>
              <w:rPr>
                <w:rFonts w:hint="eastAsia" w:ascii="宋体" w:hAnsi="宋体"/>
              </w:rPr>
              <w:t>信号闸阀</w:t>
            </w:r>
          </w:p>
        </w:tc>
        <w:tc>
          <w:tcPr>
            <w:tcW w:w="7200" w:type="dxa"/>
            <w:vAlign w:val="center"/>
          </w:tcPr>
          <w:p>
            <w:pPr>
              <w:rPr>
                <w:rFonts w:ascii="宋体" w:hAnsi="宋体"/>
              </w:rPr>
            </w:pPr>
            <w:r>
              <w:rPr>
                <w:rFonts w:hint="eastAsia" w:ascii="宋体" w:hAnsi="宋体"/>
              </w:rPr>
              <w:t>一、</w:t>
            </w:r>
            <w:r>
              <w:rPr>
                <w:rFonts w:hint="eastAsia" w:ascii="宋体" w:hAnsi="宋体"/>
                <w:szCs w:val="21"/>
              </w:rPr>
              <w:t>商务</w:t>
            </w:r>
            <w:r>
              <w:rPr>
                <w:rFonts w:hint="eastAsia" w:ascii="宋体" w:hAnsi="宋体"/>
              </w:rPr>
              <w:t>要求：</w:t>
            </w:r>
          </w:p>
          <w:p>
            <w:pPr>
              <w:numPr>
                <w:ilvl w:val="0"/>
                <w:numId w:val="50"/>
              </w:numPr>
              <w:rPr>
                <w:rFonts w:ascii="宋体" w:hAnsi="宋体"/>
              </w:rPr>
            </w:pPr>
            <w:r>
              <w:rPr>
                <w:rFonts w:hint="eastAsia" w:ascii="宋体" w:hAnsi="宋体"/>
              </w:rPr>
              <w:t>制造商应通过ISO9001：2000质量管理体系认证及ISO14001：1996 环境管理体系认证。</w:t>
            </w:r>
          </w:p>
          <w:p>
            <w:pPr>
              <w:numPr>
                <w:ilvl w:val="0"/>
                <w:numId w:val="50"/>
              </w:numPr>
              <w:rPr>
                <w:rFonts w:ascii="宋体" w:hAnsi="宋体"/>
              </w:rPr>
            </w:pPr>
            <w:r>
              <w:rPr>
                <w:rFonts w:hint="eastAsia" w:ascii="宋体" w:hAnsi="宋体"/>
              </w:rPr>
              <w:t>制造商注册资本：不少于1000万人民币。</w:t>
            </w:r>
          </w:p>
          <w:p>
            <w:pPr>
              <w:numPr>
                <w:ilvl w:val="0"/>
                <w:numId w:val="50"/>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rPr>
                <w:rFonts w:ascii="宋体" w:hAnsi="宋体"/>
              </w:rPr>
            </w:pPr>
            <w:r>
              <w:rPr>
                <w:rFonts w:hint="eastAsia" w:ascii="宋体" w:hAnsi="宋体"/>
              </w:rPr>
              <w:t>1）产品通过国家强制性认证。</w:t>
            </w:r>
          </w:p>
          <w:p>
            <w:pPr>
              <w:rPr>
                <w:rFonts w:ascii="宋体" w:hAnsi="宋体"/>
              </w:rPr>
            </w:pPr>
            <w:r>
              <w:rPr>
                <w:rFonts w:hint="eastAsia" w:ascii="宋体" w:hAnsi="宋体"/>
              </w:rPr>
              <w:t>2）规格、压力等级以及连接方式应符合有关规范、标准和设计要求。</w:t>
            </w:r>
          </w:p>
          <w:p>
            <w:pPr>
              <w:rPr>
                <w:rFonts w:ascii="宋体" w:hAnsi="宋体"/>
              </w:rPr>
            </w:pPr>
            <w:r>
              <w:rPr>
                <w:rFonts w:hint="eastAsia" w:ascii="宋体" w:hAnsi="宋体"/>
              </w:rPr>
              <w:t>3）防护等级：IP54。</w:t>
            </w:r>
          </w:p>
          <w:p>
            <w:pPr>
              <w:rPr>
                <w:rFonts w:ascii="宋体" w:hAnsi="宋体"/>
              </w:rPr>
            </w:pPr>
          </w:p>
        </w:tc>
        <w:tc>
          <w:tcPr>
            <w:tcW w:w="1080" w:type="dxa"/>
            <w:vAlign w:val="center"/>
          </w:tcPr>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426" w:hRule="atLeast"/>
        </w:trPr>
        <w:tc>
          <w:tcPr>
            <w:tcW w:w="468" w:type="dxa"/>
          </w:tcPr>
          <w:p>
            <w:pPr>
              <w:numPr>
                <w:ilvl w:val="0"/>
                <w:numId w:val="49"/>
              </w:numPr>
              <w:spacing w:line="240" w:lineRule="atLeast"/>
              <w:rPr>
                <w:rFonts w:ascii="宋体" w:hAnsi="宋体"/>
                <w:sz w:val="24"/>
              </w:rPr>
            </w:pPr>
            <w:r>
              <w:rPr>
                <w:rFonts w:hint="eastAsia" w:ascii="宋体" w:hAnsi="宋体"/>
                <w:szCs w:val="21"/>
              </w:rPr>
              <w:t>12.</w:t>
            </w:r>
          </w:p>
        </w:tc>
        <w:tc>
          <w:tcPr>
            <w:tcW w:w="900" w:type="dxa"/>
          </w:tcPr>
          <w:p>
            <w:pPr>
              <w:spacing w:line="240" w:lineRule="atLeast"/>
              <w:rPr>
                <w:rFonts w:ascii="宋体" w:hAnsi="宋体"/>
                <w:sz w:val="24"/>
              </w:rPr>
            </w:pPr>
            <w:r>
              <w:rPr>
                <w:rFonts w:hint="eastAsia" w:ascii="宋体" w:hAnsi="宋体"/>
              </w:rPr>
              <w:t>可曲挠橡胶接头、不锈钢软接头、不锈钢波纹补偿器、柔性防水套管、减震支吊架、减震器</w:t>
            </w:r>
          </w:p>
        </w:tc>
        <w:tc>
          <w:tcPr>
            <w:tcW w:w="7200" w:type="dxa"/>
            <w:vAlign w:val="center"/>
          </w:tcPr>
          <w:p>
            <w:pPr>
              <w:rPr>
                <w:rFonts w:ascii="宋体" w:hAnsi="宋体"/>
              </w:rPr>
            </w:pPr>
            <w:r>
              <w:rPr>
                <w:rFonts w:hint="eastAsia" w:ascii="宋体" w:hAnsi="宋体"/>
              </w:rPr>
              <w:t>一、商务要求：</w:t>
            </w:r>
          </w:p>
          <w:p>
            <w:pPr>
              <w:rPr>
                <w:rFonts w:ascii="宋体" w:hAnsi="宋体"/>
              </w:rPr>
            </w:pPr>
            <w:r>
              <w:rPr>
                <w:rFonts w:hint="eastAsia" w:ascii="宋体" w:hAnsi="宋体"/>
              </w:rPr>
              <w:t>1）制造商应通过ISO9001：2000质量管理体系认证。</w:t>
            </w:r>
          </w:p>
          <w:p>
            <w:pPr>
              <w:rPr>
                <w:rFonts w:ascii="宋体" w:hAnsi="宋体"/>
              </w:rPr>
            </w:pPr>
            <w:r>
              <w:rPr>
                <w:rFonts w:hint="eastAsia" w:ascii="宋体" w:hAnsi="宋体"/>
              </w:rPr>
              <w:t>2）制造商在深圳地区设有完善的售后服务机构。</w:t>
            </w:r>
          </w:p>
          <w:p>
            <w:pPr>
              <w:rPr>
                <w:rFonts w:ascii="宋体" w:hAnsi="宋体"/>
              </w:rPr>
            </w:pPr>
            <w:r>
              <w:rPr>
                <w:rFonts w:hint="eastAsia" w:ascii="宋体" w:hAnsi="宋体"/>
              </w:rPr>
              <w:t>3）产品应为国内知名品牌。</w:t>
            </w:r>
          </w:p>
          <w:p>
            <w:pPr>
              <w:rPr>
                <w:rFonts w:ascii="宋体" w:hAnsi="宋体"/>
              </w:rPr>
            </w:pPr>
          </w:p>
          <w:p>
            <w:pPr>
              <w:rPr>
                <w:rFonts w:ascii="宋体" w:hAnsi="宋体"/>
              </w:rPr>
            </w:pPr>
            <w:r>
              <w:rPr>
                <w:rFonts w:hint="eastAsia" w:ascii="宋体" w:hAnsi="宋体"/>
              </w:rPr>
              <w:t>二、技术要求：</w:t>
            </w:r>
          </w:p>
          <w:p>
            <w:pPr>
              <w:spacing w:line="276" w:lineRule="auto"/>
              <w:rPr>
                <w:rFonts w:ascii="宋体" w:hAnsi="宋体"/>
              </w:rPr>
            </w:pPr>
            <w:r>
              <w:rPr>
                <w:rFonts w:hint="eastAsia" w:ascii="宋体" w:hAnsi="宋体"/>
              </w:rPr>
              <w:t>1）符合设计及有关规范要求。</w:t>
            </w:r>
          </w:p>
          <w:p>
            <w:pPr>
              <w:spacing w:line="276" w:lineRule="auto"/>
              <w:rPr>
                <w:rFonts w:ascii="宋体" w:hAnsi="宋体"/>
              </w:rPr>
            </w:pPr>
            <w:r>
              <w:rPr>
                <w:rFonts w:hint="eastAsia" w:ascii="宋体" w:hAnsi="宋体"/>
              </w:rPr>
              <w:t>2）公称压力大于各系统设计要求的试验压力。</w:t>
            </w:r>
          </w:p>
          <w:p>
            <w:pPr>
              <w:spacing w:line="276" w:lineRule="auto"/>
              <w:rPr>
                <w:rFonts w:ascii="宋体" w:hAnsi="宋体"/>
              </w:rPr>
            </w:pPr>
            <w:r>
              <w:rPr>
                <w:rFonts w:hint="eastAsia" w:ascii="宋体" w:hAnsi="宋体"/>
              </w:rPr>
              <w:t>3）不锈钢软接应符合GB/T12777－2008的规定,金属软管应符合GB/T14525－2010的规定。不锈钢软接的材料采用304不锈钢，两端接管或法兰采用低碳钢或不锈钢。</w:t>
            </w:r>
          </w:p>
          <w:p>
            <w:pPr>
              <w:spacing w:line="276" w:lineRule="auto"/>
              <w:rPr>
                <w:rFonts w:ascii="宋体" w:hAnsi="宋体"/>
              </w:rPr>
            </w:pPr>
            <w:r>
              <w:rPr>
                <w:rFonts w:hint="eastAsia" w:ascii="宋体" w:hAnsi="宋体"/>
              </w:rPr>
              <w:t>4）不锈钢柔性接头使用温度－20℃～250℃。</w:t>
            </w:r>
          </w:p>
          <w:p>
            <w:pPr>
              <w:spacing w:line="276" w:lineRule="auto"/>
              <w:rPr>
                <w:rFonts w:ascii="宋体" w:hAnsi="宋体"/>
              </w:rPr>
            </w:pPr>
            <w:r>
              <w:rPr>
                <w:rFonts w:hint="eastAsia" w:ascii="宋体" w:hAnsi="宋体"/>
              </w:rPr>
              <w:t>5）橡胶接头应符合HG/T2289－2001的规定，材料须为多层尼龙线质织物与纯天然橡胶混合经压铸定型而成。</w:t>
            </w:r>
          </w:p>
          <w:p>
            <w:pPr>
              <w:spacing w:line="360" w:lineRule="auto"/>
              <w:rPr>
                <w:rFonts w:ascii="宋体" w:hAnsi="宋体"/>
              </w:rPr>
            </w:pPr>
            <w:r>
              <w:rPr>
                <w:rFonts w:hint="eastAsia" w:ascii="宋体" w:hAnsi="宋体"/>
              </w:rPr>
              <w:t>6）橡胶接头连接用的法兰需为锻造法兰并经过双层烤漆防腐处理。</w:t>
            </w:r>
          </w:p>
          <w:p>
            <w:pPr>
              <w:rPr>
                <w:rFonts w:ascii="宋体" w:hAnsi="宋体"/>
              </w:rPr>
            </w:pPr>
          </w:p>
        </w:tc>
        <w:tc>
          <w:tcPr>
            <w:tcW w:w="1080" w:type="dxa"/>
            <w:vAlign w:val="center"/>
          </w:tcPr>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rPr>
                <w:rFonts w:ascii="宋体" w:hAnsi="宋体"/>
                <w:sz w:val="24"/>
              </w:rPr>
            </w:pPr>
            <w:r>
              <w:rPr>
                <w:rFonts w:hint="eastAsia" w:ascii="宋体" w:hAnsi="宋体"/>
                <w:sz w:val="24"/>
              </w:rPr>
              <w:t>6</w:t>
            </w:r>
          </w:p>
        </w:tc>
        <w:tc>
          <w:tcPr>
            <w:tcW w:w="900" w:type="dxa"/>
          </w:tcPr>
          <w:p>
            <w:pPr>
              <w:spacing w:line="240" w:lineRule="atLeast"/>
              <w:rPr>
                <w:rFonts w:ascii="宋体" w:hAnsi="宋体"/>
                <w:szCs w:val="21"/>
              </w:rPr>
            </w:pPr>
            <w:r>
              <w:rPr>
                <w:rFonts w:hint="eastAsia" w:ascii="宋体" w:hAnsi="宋体"/>
                <w:szCs w:val="21"/>
              </w:rPr>
              <w:t>湿式报警阀组</w:t>
            </w:r>
          </w:p>
        </w:tc>
        <w:tc>
          <w:tcPr>
            <w:tcW w:w="7200" w:type="dxa"/>
            <w:vAlign w:val="center"/>
          </w:tcPr>
          <w:p>
            <w:pPr>
              <w:rPr>
                <w:rFonts w:ascii="宋体" w:hAnsi="宋体"/>
              </w:rPr>
            </w:pPr>
            <w:r>
              <w:rPr>
                <w:rFonts w:hint="eastAsia" w:ascii="宋体" w:hAnsi="宋体"/>
              </w:rPr>
              <w:t>一、商务要求：</w:t>
            </w:r>
          </w:p>
          <w:p>
            <w:pPr>
              <w:numPr>
                <w:ilvl w:val="0"/>
                <w:numId w:val="51"/>
              </w:numPr>
              <w:tabs>
                <w:tab w:val="left" w:pos="420"/>
              </w:tabs>
              <w:ind w:left="420" w:hanging="420"/>
              <w:rPr>
                <w:rFonts w:ascii="宋体" w:hAnsi="宋体"/>
              </w:rPr>
            </w:pPr>
            <w:r>
              <w:rPr>
                <w:rFonts w:hint="eastAsia" w:ascii="宋体" w:hAnsi="宋体"/>
              </w:rPr>
              <w:t>制造商应通过ISO9001：2000质量管理体系认证。</w:t>
            </w:r>
          </w:p>
          <w:p>
            <w:pPr>
              <w:numPr>
                <w:ilvl w:val="0"/>
                <w:numId w:val="51"/>
              </w:numPr>
              <w:tabs>
                <w:tab w:val="left" w:pos="420"/>
              </w:tabs>
              <w:ind w:left="420" w:hanging="420"/>
              <w:rPr>
                <w:rFonts w:ascii="宋体" w:hAnsi="宋体"/>
              </w:rPr>
            </w:pPr>
            <w:r>
              <w:rPr>
                <w:rFonts w:hint="eastAsia" w:ascii="宋体" w:hAnsi="宋体"/>
              </w:rPr>
              <w:t>制造商注册资本：不少于3000万人民币。</w:t>
            </w:r>
          </w:p>
          <w:p>
            <w:pPr>
              <w:numPr>
                <w:ilvl w:val="0"/>
                <w:numId w:val="51"/>
              </w:numPr>
              <w:tabs>
                <w:tab w:val="left" w:pos="420"/>
              </w:tabs>
              <w:ind w:left="420" w:hanging="420"/>
              <w:rPr>
                <w:rFonts w:ascii="宋体" w:hAnsi="宋体"/>
              </w:rPr>
            </w:pPr>
            <w:r>
              <w:rPr>
                <w:rFonts w:hint="eastAsia" w:ascii="宋体" w:hAnsi="宋体"/>
              </w:rPr>
              <w:t>制造商在深圳地区设有完善的售后服务机构。</w:t>
            </w:r>
          </w:p>
          <w:p>
            <w:pPr>
              <w:rPr>
                <w:rFonts w:ascii="宋体" w:hAnsi="宋体"/>
              </w:rPr>
            </w:pPr>
          </w:p>
          <w:p>
            <w:pPr>
              <w:spacing w:line="360" w:lineRule="auto"/>
              <w:rPr>
                <w:rFonts w:ascii="宋体" w:hAnsi="宋体"/>
              </w:rPr>
            </w:pPr>
            <w:r>
              <w:rPr>
                <w:rFonts w:hint="eastAsia" w:ascii="宋体" w:hAnsi="宋体"/>
              </w:rPr>
              <w:t>二、技术要求：</w:t>
            </w:r>
          </w:p>
          <w:p>
            <w:pPr>
              <w:numPr>
                <w:ilvl w:val="0"/>
                <w:numId w:val="52"/>
              </w:numPr>
              <w:rPr>
                <w:rFonts w:ascii="宋体" w:hAnsi="宋体"/>
              </w:rPr>
            </w:pPr>
            <w:r>
              <w:rPr>
                <w:rFonts w:hint="eastAsia" w:ascii="宋体" w:hAnsi="宋体"/>
              </w:rPr>
              <w:t>产品通过国家强制性认证。</w:t>
            </w:r>
          </w:p>
          <w:p>
            <w:pPr>
              <w:numPr>
                <w:ilvl w:val="0"/>
                <w:numId w:val="52"/>
              </w:numPr>
              <w:rPr>
                <w:rFonts w:ascii="宋体" w:hAnsi="宋体"/>
              </w:rPr>
            </w:pPr>
            <w:r>
              <w:rPr>
                <w:rFonts w:hint="eastAsia" w:ascii="宋体" w:hAnsi="宋体"/>
              </w:rPr>
              <w:t>规格、压力等级以及连接方式应符合有关规范、标准和设计要求。</w:t>
            </w:r>
          </w:p>
          <w:p>
            <w:pPr>
              <w:numPr>
                <w:ilvl w:val="0"/>
                <w:numId w:val="52"/>
              </w:numPr>
              <w:rPr>
                <w:rFonts w:ascii="宋体" w:hAnsi="宋体"/>
              </w:rPr>
            </w:pPr>
            <w:r>
              <w:rPr>
                <w:rFonts w:hint="eastAsia" w:ascii="宋体" w:hAnsi="宋体"/>
              </w:rPr>
              <w:t>每个阀组应由下列部件组成：</w:t>
            </w:r>
          </w:p>
          <w:p>
            <w:pPr>
              <w:rPr>
                <w:rFonts w:ascii="宋体" w:hAnsi="宋体"/>
              </w:rPr>
            </w:pPr>
            <w:r>
              <w:rPr>
                <w:rFonts w:ascii="宋体" w:hAnsi="宋体"/>
              </w:rPr>
              <w:t>①</w:t>
            </w:r>
            <w:r>
              <w:rPr>
                <w:rFonts w:hint="eastAsia" w:ascii="宋体" w:hAnsi="宋体"/>
              </w:rPr>
              <w:t xml:space="preserve"> 挂锁装置的闸式截止阀,装于报警阀两端。</w:t>
            </w:r>
          </w:p>
          <w:p>
            <w:pPr>
              <w:rPr>
                <w:rFonts w:ascii="宋体" w:hAnsi="宋体"/>
              </w:rPr>
            </w:pPr>
            <w:r>
              <w:rPr>
                <w:rFonts w:ascii="宋体" w:hAnsi="宋体"/>
              </w:rPr>
              <w:t>②</w:t>
            </w:r>
            <w:r>
              <w:rPr>
                <w:rFonts w:hint="eastAsia" w:ascii="宋体" w:hAnsi="宋体"/>
              </w:rPr>
              <w:t xml:space="preserve"> 延时器、报警阀。</w:t>
            </w:r>
          </w:p>
          <w:p>
            <w:pPr>
              <w:rPr>
                <w:rFonts w:ascii="宋体" w:hAnsi="宋体"/>
              </w:rPr>
            </w:pPr>
            <w:r>
              <w:rPr>
                <w:rFonts w:ascii="宋体" w:hAnsi="宋体"/>
              </w:rPr>
              <w:t>③</w:t>
            </w:r>
            <w:r>
              <w:rPr>
                <w:rFonts w:hint="eastAsia" w:ascii="宋体" w:hAnsi="宋体"/>
              </w:rPr>
              <w:t xml:space="preserve"> 水力警铃、过滤器、压力开关等报警装置。</w:t>
            </w:r>
          </w:p>
          <w:p>
            <w:pPr>
              <w:rPr>
                <w:rFonts w:ascii="宋体" w:hAnsi="宋体"/>
              </w:rPr>
            </w:pPr>
            <w:r>
              <w:rPr>
                <w:rFonts w:ascii="宋体" w:hAnsi="宋体"/>
              </w:rPr>
              <w:t>④</w:t>
            </w:r>
            <w:r>
              <w:rPr>
                <w:rFonts w:hint="eastAsia" w:ascii="宋体" w:hAnsi="宋体"/>
              </w:rPr>
              <w:t xml:space="preserve"> 有试验装置。</w:t>
            </w:r>
          </w:p>
          <w:p>
            <w:pPr>
              <w:rPr>
                <w:rFonts w:ascii="宋体" w:hAnsi="宋体"/>
              </w:rPr>
            </w:pPr>
            <w:r>
              <w:rPr>
                <w:rFonts w:ascii="宋体" w:hAnsi="宋体"/>
              </w:rPr>
              <w:t>⑤</w:t>
            </w:r>
            <w:r>
              <w:rPr>
                <w:rFonts w:hint="eastAsia" w:ascii="宋体" w:hAnsi="宋体"/>
              </w:rPr>
              <w:t xml:space="preserve"> 有阀门的压力表。</w:t>
            </w:r>
          </w:p>
          <w:p>
            <w:pPr>
              <w:rPr>
                <w:rFonts w:ascii="宋体" w:hAnsi="宋体"/>
              </w:rPr>
            </w:pPr>
            <w:r>
              <w:rPr>
                <w:rFonts w:ascii="宋体" w:hAnsi="宋体"/>
              </w:rPr>
              <w:t>⑥</w:t>
            </w:r>
            <w:r>
              <w:rPr>
                <w:rFonts w:hint="eastAsia" w:ascii="宋体" w:hAnsi="宋体"/>
              </w:rPr>
              <w:t xml:space="preserve"> 有闸阀及报警阀须配设微动开关监察之用。</w:t>
            </w:r>
          </w:p>
          <w:p>
            <w:pPr>
              <w:numPr>
                <w:ilvl w:val="0"/>
                <w:numId w:val="52"/>
              </w:numPr>
              <w:rPr>
                <w:rFonts w:ascii="宋体" w:hAnsi="宋体"/>
              </w:rPr>
            </w:pPr>
            <w:r>
              <w:rPr>
                <w:rFonts w:hint="eastAsia" w:ascii="宋体" w:hAnsi="宋体"/>
              </w:rPr>
              <w:t>其中：</w:t>
            </w:r>
          </w:p>
          <w:p>
            <w:pPr>
              <w:rPr>
                <w:rFonts w:ascii="宋体" w:hAnsi="宋体"/>
              </w:rPr>
            </w:pPr>
            <w:r>
              <w:rPr>
                <w:rFonts w:hint="eastAsia" w:ascii="宋体" w:hAnsi="宋体"/>
              </w:rPr>
              <w:t>A．湿式报警阀：阀体为铸铁；阀瓣为球墨铸铁，阀瓣及操作机构应动作灵活，无卡涩现象；密封用优质橡胶；除应有商标、型号、规格等标志外，尚应有水流方向的永久性标志。</w:t>
            </w:r>
          </w:p>
          <w:p>
            <w:pPr>
              <w:rPr>
                <w:rFonts w:ascii="宋体" w:hAnsi="宋体"/>
              </w:rPr>
            </w:pPr>
            <w:r>
              <w:rPr>
                <w:rFonts w:hint="eastAsia" w:ascii="宋体" w:hAnsi="宋体"/>
              </w:rPr>
              <w:t>B．水力警铃，外壳为铝质，采用水压驱动机械式操作，其铃锤应转动灵活无阻滞现象。</w:t>
            </w:r>
          </w:p>
          <w:p>
            <w:pPr>
              <w:rPr>
                <w:rFonts w:ascii="宋体" w:hAnsi="宋体"/>
              </w:rPr>
            </w:pPr>
            <w:r>
              <w:rPr>
                <w:rFonts w:hint="eastAsia" w:ascii="宋体" w:hAnsi="宋体"/>
              </w:rPr>
              <w:t>C．延时器，外壳为钢质。</w:t>
            </w:r>
          </w:p>
          <w:p>
            <w:pPr>
              <w:rPr>
                <w:rFonts w:ascii="宋体" w:hAnsi="宋体"/>
              </w:rPr>
            </w:pPr>
            <w:r>
              <w:rPr>
                <w:rFonts w:hint="eastAsia" w:ascii="宋体" w:hAnsi="宋体"/>
              </w:rPr>
              <w:t>D．压力开关，外壳为铝质，防水等级IP54。</w:t>
            </w:r>
          </w:p>
          <w:p>
            <w:pPr>
              <w:numPr>
                <w:ilvl w:val="0"/>
                <w:numId w:val="52"/>
              </w:numPr>
              <w:rPr>
                <w:rFonts w:ascii="宋体" w:hAnsi="宋体"/>
              </w:rPr>
            </w:pPr>
            <w:r>
              <w:rPr>
                <w:rFonts w:hint="eastAsia" w:ascii="宋体" w:hAnsi="宋体"/>
              </w:rPr>
              <w:t>上述组件应有清晰的铭牌、安全操作指示标志和产品说明书。</w:t>
            </w:r>
          </w:p>
          <w:p>
            <w:pPr>
              <w:rPr>
                <w:rFonts w:ascii="宋体" w:hAnsi="宋体"/>
              </w:rPr>
            </w:pPr>
          </w:p>
        </w:tc>
        <w:tc>
          <w:tcPr>
            <w:tcW w:w="1080" w:type="dxa"/>
            <w:vAlign w:val="center"/>
          </w:tcPr>
          <w:p>
            <w:pPr>
              <w:adjustRightInd w:val="0"/>
              <w:snapToGrid w:val="0"/>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rPr>
                <w:rFonts w:ascii="宋体" w:hAnsi="宋体"/>
                <w:sz w:val="24"/>
              </w:rPr>
            </w:pPr>
            <w:r>
              <w:rPr>
                <w:rFonts w:hint="eastAsia" w:ascii="宋体" w:hAnsi="宋体"/>
                <w:sz w:val="24"/>
              </w:rPr>
              <w:t>7</w:t>
            </w:r>
          </w:p>
        </w:tc>
        <w:tc>
          <w:tcPr>
            <w:tcW w:w="900" w:type="dxa"/>
          </w:tcPr>
          <w:p>
            <w:pPr>
              <w:spacing w:line="240" w:lineRule="atLeast"/>
              <w:rPr>
                <w:rFonts w:ascii="宋体" w:hAnsi="宋体"/>
                <w:sz w:val="24"/>
              </w:rPr>
            </w:pPr>
            <w:r>
              <w:rPr>
                <w:rFonts w:hint="eastAsia" w:ascii="宋体" w:hAnsi="宋体"/>
              </w:rPr>
              <w:t>室外消火栓、水泵接合器</w:t>
            </w:r>
          </w:p>
        </w:tc>
        <w:tc>
          <w:tcPr>
            <w:tcW w:w="7200" w:type="dxa"/>
            <w:vAlign w:val="center"/>
          </w:tcPr>
          <w:p>
            <w:pPr>
              <w:rPr>
                <w:rFonts w:ascii="宋体" w:hAnsi="宋体"/>
              </w:rPr>
            </w:pPr>
            <w:r>
              <w:rPr>
                <w:rFonts w:hint="eastAsia" w:ascii="宋体" w:hAnsi="宋体"/>
              </w:rPr>
              <w:t>一、商务要求：</w:t>
            </w:r>
          </w:p>
          <w:p>
            <w:pPr>
              <w:numPr>
                <w:ilvl w:val="0"/>
                <w:numId w:val="53"/>
              </w:numPr>
              <w:tabs>
                <w:tab w:val="left" w:pos="420"/>
                <w:tab w:val="clear" w:pos="1250"/>
              </w:tabs>
              <w:ind w:left="420" w:hanging="420"/>
              <w:rPr>
                <w:rFonts w:ascii="宋体" w:hAnsi="宋体"/>
              </w:rPr>
            </w:pPr>
            <w:r>
              <w:rPr>
                <w:rFonts w:hint="eastAsia" w:ascii="宋体" w:hAnsi="宋体"/>
              </w:rPr>
              <w:t>制造商应通过ISO9001：2000质量管理体系认证。</w:t>
            </w:r>
          </w:p>
          <w:p>
            <w:pPr>
              <w:numPr>
                <w:ilvl w:val="0"/>
                <w:numId w:val="53"/>
              </w:numPr>
              <w:tabs>
                <w:tab w:val="left" w:pos="420"/>
                <w:tab w:val="clear" w:pos="1250"/>
              </w:tabs>
              <w:ind w:left="420" w:hanging="420"/>
              <w:rPr>
                <w:rFonts w:ascii="宋体" w:hAnsi="宋体"/>
              </w:rPr>
            </w:pPr>
            <w:r>
              <w:rPr>
                <w:rFonts w:hint="eastAsia" w:ascii="宋体" w:hAnsi="宋体"/>
              </w:rPr>
              <w:t>制造商注册资本：不少于3000万人民币。</w:t>
            </w:r>
          </w:p>
          <w:p>
            <w:pPr>
              <w:numPr>
                <w:ilvl w:val="0"/>
                <w:numId w:val="53"/>
              </w:numPr>
              <w:tabs>
                <w:tab w:val="left" w:pos="420"/>
                <w:tab w:val="clear" w:pos="1250"/>
              </w:tabs>
              <w:ind w:left="420" w:hanging="420"/>
              <w:rPr>
                <w:rFonts w:ascii="宋体" w:hAnsi="宋体"/>
              </w:rPr>
            </w:pPr>
            <w:r>
              <w:rPr>
                <w:rFonts w:hint="eastAsia" w:ascii="宋体" w:hAnsi="宋体"/>
              </w:rPr>
              <w:t>制造商在深圳地区设有完善的售后服务机构。</w:t>
            </w:r>
          </w:p>
          <w:p>
            <w:pPr>
              <w:rPr>
                <w:rFonts w:ascii="宋体" w:hAnsi="宋体"/>
              </w:rPr>
            </w:pPr>
          </w:p>
          <w:p>
            <w:pPr>
              <w:spacing w:line="360" w:lineRule="auto"/>
              <w:rPr>
                <w:rFonts w:ascii="宋体" w:hAnsi="宋体"/>
              </w:rPr>
            </w:pPr>
            <w:r>
              <w:rPr>
                <w:rFonts w:hint="eastAsia" w:ascii="宋体" w:hAnsi="宋体"/>
              </w:rPr>
              <w:t>二、技术要求：</w:t>
            </w:r>
          </w:p>
          <w:p>
            <w:pPr>
              <w:rPr>
                <w:rFonts w:ascii="宋体" w:hAnsi="宋体"/>
              </w:rPr>
            </w:pPr>
            <w:r>
              <w:rPr>
                <w:rFonts w:hint="eastAsia" w:ascii="宋体" w:hAnsi="宋体"/>
              </w:rPr>
              <w:t>1）产品通过国家强制性认证，并提供合格的型式检验报告。</w:t>
            </w:r>
          </w:p>
          <w:p>
            <w:pPr>
              <w:rPr>
                <w:rFonts w:ascii="宋体" w:hAnsi="宋体"/>
              </w:rPr>
            </w:pPr>
            <w:r>
              <w:rPr>
                <w:rFonts w:hint="eastAsia" w:ascii="宋体" w:hAnsi="宋体"/>
              </w:rPr>
              <w:t>2）符合国家或行业的生产技术标准。</w:t>
            </w:r>
          </w:p>
          <w:p>
            <w:pPr>
              <w:rPr>
                <w:rFonts w:ascii="宋体" w:hAnsi="宋体"/>
              </w:rPr>
            </w:pPr>
            <w:r>
              <w:rPr>
                <w:rFonts w:hint="eastAsia" w:ascii="宋体" w:hAnsi="宋体"/>
              </w:rPr>
              <w:t>3）室外消火栓符合《室外消火栓通用技术条件》GB4452</w:t>
            </w:r>
            <w:r>
              <w:rPr>
                <w:rFonts w:ascii="宋体" w:hAnsi="宋体"/>
              </w:rPr>
              <w:t>—</w:t>
            </w:r>
            <w:r>
              <w:rPr>
                <w:rFonts w:hint="eastAsia" w:ascii="宋体" w:hAnsi="宋体"/>
              </w:rPr>
              <w:t>1996的要求。</w:t>
            </w:r>
          </w:p>
          <w:p>
            <w:pPr>
              <w:rPr>
                <w:rFonts w:ascii="宋体" w:hAnsi="宋体"/>
              </w:rPr>
            </w:pPr>
            <w:r>
              <w:rPr>
                <w:rFonts w:hint="eastAsia" w:ascii="宋体" w:hAnsi="宋体"/>
              </w:rPr>
              <w:t>4）水泵接合器产品应为双进水口、地上式，自带安全阀。</w:t>
            </w:r>
          </w:p>
          <w:p>
            <w:r>
              <w:rPr>
                <w:rFonts w:hint="eastAsia"/>
              </w:rPr>
              <w:t>5）符合设计及有关规范要求。</w:t>
            </w:r>
          </w:p>
          <w:p>
            <w:pPr>
              <w:rPr>
                <w:rFonts w:ascii="宋体" w:hAnsi="宋体"/>
              </w:rPr>
            </w:pPr>
          </w:p>
        </w:tc>
        <w:tc>
          <w:tcPr>
            <w:tcW w:w="1080" w:type="dxa"/>
            <w:vAlign w:val="center"/>
          </w:tcPr>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rPr>
                <w:rFonts w:ascii="宋体" w:hAnsi="宋体"/>
                <w:sz w:val="24"/>
              </w:rPr>
            </w:pPr>
            <w:r>
              <w:rPr>
                <w:rFonts w:hint="eastAsia" w:ascii="宋体" w:hAnsi="宋体"/>
                <w:sz w:val="24"/>
              </w:rPr>
              <w:t>8</w:t>
            </w:r>
          </w:p>
        </w:tc>
        <w:tc>
          <w:tcPr>
            <w:tcW w:w="900" w:type="dxa"/>
          </w:tcPr>
          <w:p>
            <w:pPr>
              <w:spacing w:line="240" w:lineRule="atLeast"/>
              <w:rPr>
                <w:rFonts w:ascii="宋体" w:hAnsi="宋体"/>
                <w:szCs w:val="21"/>
              </w:rPr>
            </w:pPr>
            <w:r>
              <w:rPr>
                <w:rFonts w:hint="eastAsia" w:ascii="宋体" w:hAnsi="宋体"/>
                <w:szCs w:val="21"/>
              </w:rPr>
              <w:t>水流指示器</w:t>
            </w:r>
          </w:p>
        </w:tc>
        <w:tc>
          <w:tcPr>
            <w:tcW w:w="7200" w:type="dxa"/>
            <w:vAlign w:val="center"/>
          </w:tcPr>
          <w:p>
            <w:pPr>
              <w:rPr>
                <w:rFonts w:ascii="宋体" w:hAnsi="宋体"/>
              </w:rPr>
            </w:pPr>
            <w:r>
              <w:rPr>
                <w:rFonts w:hint="eastAsia" w:ascii="宋体" w:hAnsi="宋体"/>
              </w:rPr>
              <w:t>一、商务要求：</w:t>
            </w:r>
          </w:p>
          <w:p>
            <w:pPr>
              <w:numPr>
                <w:ilvl w:val="0"/>
                <w:numId w:val="54"/>
              </w:numPr>
              <w:rPr>
                <w:rFonts w:ascii="宋体" w:hAnsi="宋体"/>
              </w:rPr>
            </w:pPr>
            <w:r>
              <w:rPr>
                <w:rFonts w:hint="eastAsia" w:ascii="宋体" w:hAnsi="宋体"/>
              </w:rPr>
              <w:t>制造商应通过ISO9001：2000质量管理体系认证。</w:t>
            </w:r>
          </w:p>
          <w:p>
            <w:pPr>
              <w:numPr>
                <w:ilvl w:val="0"/>
                <w:numId w:val="54"/>
              </w:numPr>
              <w:rPr>
                <w:rFonts w:ascii="宋体" w:hAnsi="宋体"/>
              </w:rPr>
            </w:pPr>
            <w:r>
              <w:rPr>
                <w:rFonts w:hint="eastAsia" w:ascii="宋体" w:hAnsi="宋体"/>
              </w:rPr>
              <w:t>制造商注册资本：不少于3000万人民币。</w:t>
            </w:r>
          </w:p>
          <w:p>
            <w:pPr>
              <w:numPr>
                <w:ilvl w:val="0"/>
                <w:numId w:val="54"/>
              </w:numPr>
              <w:rPr>
                <w:rFonts w:ascii="宋体" w:hAnsi="宋体"/>
              </w:rPr>
            </w:pPr>
            <w:r>
              <w:rPr>
                <w:rFonts w:hint="eastAsia" w:ascii="宋体" w:hAnsi="宋体"/>
              </w:rPr>
              <w:t>制造商在深圳地区设有完善的售后服务机构。</w:t>
            </w:r>
          </w:p>
          <w:p>
            <w:pPr>
              <w:rPr>
                <w:rFonts w:ascii="宋体" w:hAnsi="宋体"/>
              </w:rPr>
            </w:pPr>
          </w:p>
          <w:p>
            <w:pPr>
              <w:rPr>
                <w:rFonts w:ascii="宋体" w:hAnsi="宋体"/>
              </w:rPr>
            </w:pPr>
            <w:r>
              <w:rPr>
                <w:rFonts w:hint="eastAsia" w:ascii="宋体" w:hAnsi="宋体"/>
              </w:rPr>
              <w:t>二、技术要求：</w:t>
            </w:r>
          </w:p>
          <w:p>
            <w:pPr>
              <w:numPr>
                <w:ilvl w:val="0"/>
                <w:numId w:val="55"/>
              </w:numPr>
              <w:rPr>
                <w:rFonts w:ascii="宋体" w:hAnsi="宋体"/>
              </w:rPr>
            </w:pPr>
            <w:r>
              <w:rPr>
                <w:rFonts w:hint="eastAsia" w:ascii="宋体" w:hAnsi="宋体"/>
              </w:rPr>
              <w:t>产品通过国家强制性认证。</w:t>
            </w:r>
          </w:p>
          <w:p>
            <w:pPr>
              <w:numPr>
                <w:ilvl w:val="0"/>
                <w:numId w:val="55"/>
              </w:numPr>
              <w:rPr>
                <w:rFonts w:ascii="宋体" w:hAnsi="宋体"/>
              </w:rPr>
            </w:pPr>
            <w:r>
              <w:rPr>
                <w:rFonts w:hint="eastAsia" w:ascii="宋体" w:hAnsi="宋体"/>
              </w:rPr>
              <w:t>规格、压力等级以及连接方式应符合有关规范、标准和设计要求，并应有清晰的铭牌、安全操作指示标志和产品说明书，尚应有水流方向的永久性标志。</w:t>
            </w:r>
          </w:p>
          <w:p>
            <w:pPr>
              <w:numPr>
                <w:ilvl w:val="0"/>
                <w:numId w:val="55"/>
              </w:numPr>
              <w:rPr>
                <w:rFonts w:ascii="宋体" w:hAnsi="宋体"/>
              </w:rPr>
            </w:pPr>
            <w:r>
              <w:rPr>
                <w:rFonts w:hint="eastAsia" w:ascii="宋体" w:hAnsi="宋体"/>
              </w:rPr>
              <w:t>叶轮式，有一隔壁将水侧与电侧分离开，触点须适合于控制电路的工作电压与电流，其材料应为银或其他被认可的合金。</w:t>
            </w:r>
          </w:p>
          <w:p>
            <w:pPr>
              <w:rPr>
                <w:rFonts w:ascii="宋体" w:hAnsi="宋体"/>
              </w:rPr>
            </w:pPr>
          </w:p>
        </w:tc>
        <w:tc>
          <w:tcPr>
            <w:tcW w:w="1080" w:type="dxa"/>
            <w:vAlign w:val="center"/>
          </w:tcPr>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rPr>
                <w:rFonts w:ascii="宋体" w:hAnsi="宋体"/>
                <w:sz w:val="24"/>
              </w:rPr>
            </w:pPr>
            <w:r>
              <w:rPr>
                <w:rFonts w:hint="eastAsia" w:ascii="宋体" w:hAnsi="宋体"/>
                <w:sz w:val="24"/>
              </w:rPr>
              <w:t>9</w:t>
            </w:r>
          </w:p>
        </w:tc>
        <w:tc>
          <w:tcPr>
            <w:tcW w:w="900" w:type="dxa"/>
          </w:tcPr>
          <w:p>
            <w:pPr>
              <w:spacing w:line="240" w:lineRule="atLeast"/>
              <w:rPr>
                <w:rFonts w:ascii="宋体" w:hAnsi="宋体"/>
                <w:szCs w:val="21"/>
              </w:rPr>
            </w:pPr>
            <w:r>
              <w:rPr>
                <w:rFonts w:hint="eastAsia" w:ascii="宋体" w:hAnsi="宋体"/>
                <w:szCs w:val="21"/>
              </w:rPr>
              <w:t>喷头</w:t>
            </w:r>
          </w:p>
        </w:tc>
        <w:tc>
          <w:tcPr>
            <w:tcW w:w="7200" w:type="dxa"/>
            <w:vAlign w:val="center"/>
          </w:tcPr>
          <w:p>
            <w:pPr>
              <w:rPr>
                <w:rFonts w:ascii="宋体" w:hAnsi="宋体"/>
              </w:rPr>
            </w:pPr>
            <w:r>
              <w:rPr>
                <w:rFonts w:hint="eastAsia" w:ascii="宋体" w:hAnsi="宋体"/>
              </w:rPr>
              <w:t>一、商务要求：</w:t>
            </w:r>
          </w:p>
          <w:p>
            <w:pPr>
              <w:numPr>
                <w:ilvl w:val="0"/>
                <w:numId w:val="56"/>
              </w:numPr>
              <w:rPr>
                <w:rFonts w:ascii="宋体" w:hAnsi="宋体"/>
              </w:rPr>
            </w:pPr>
            <w:r>
              <w:rPr>
                <w:rFonts w:hint="eastAsia" w:ascii="宋体" w:hAnsi="宋体"/>
              </w:rPr>
              <w:t>制造商应通过ISO9001：2000质量管理体系认证。</w:t>
            </w:r>
          </w:p>
          <w:p>
            <w:pPr>
              <w:numPr>
                <w:ilvl w:val="0"/>
                <w:numId w:val="56"/>
              </w:numPr>
              <w:rPr>
                <w:rFonts w:ascii="宋体" w:hAnsi="宋体"/>
              </w:rPr>
            </w:pPr>
            <w:r>
              <w:rPr>
                <w:rFonts w:hint="eastAsia" w:ascii="宋体" w:hAnsi="宋体"/>
              </w:rPr>
              <w:t>制造商注册资本：不少于3000万人民币。</w:t>
            </w:r>
          </w:p>
          <w:p>
            <w:pPr>
              <w:numPr>
                <w:ilvl w:val="0"/>
                <w:numId w:val="56"/>
              </w:numPr>
              <w:rPr>
                <w:rFonts w:ascii="宋体" w:hAnsi="宋体"/>
              </w:rPr>
            </w:pPr>
            <w:r>
              <w:rPr>
                <w:rFonts w:hint="eastAsia" w:ascii="宋体" w:hAnsi="宋体"/>
              </w:rPr>
              <w:t>制造商在深圳地区设有完善的售后服务机构。</w:t>
            </w:r>
          </w:p>
          <w:p>
            <w:pPr>
              <w:rPr>
                <w:rFonts w:ascii="宋体" w:hAnsi="宋体"/>
              </w:rPr>
            </w:pPr>
          </w:p>
          <w:p>
            <w:pPr>
              <w:spacing w:line="360" w:lineRule="auto"/>
              <w:rPr>
                <w:rFonts w:ascii="宋体" w:hAnsi="宋体"/>
              </w:rPr>
            </w:pPr>
            <w:r>
              <w:rPr>
                <w:rFonts w:hint="eastAsia" w:ascii="宋体" w:hAnsi="宋体"/>
              </w:rPr>
              <w:t>二、技术要求：</w:t>
            </w:r>
          </w:p>
          <w:p>
            <w:pPr>
              <w:numPr>
                <w:ilvl w:val="0"/>
                <w:numId w:val="57"/>
              </w:numPr>
              <w:tabs>
                <w:tab w:val="left" w:pos="420"/>
              </w:tabs>
              <w:ind w:left="420" w:hanging="420"/>
              <w:rPr>
                <w:rFonts w:ascii="宋体" w:hAnsi="宋体"/>
              </w:rPr>
            </w:pPr>
            <w:r>
              <w:rPr>
                <w:rFonts w:hint="eastAsia" w:ascii="宋体" w:hAnsi="宋体"/>
              </w:rPr>
              <w:t>产品通过国家强制性认证。</w:t>
            </w:r>
          </w:p>
          <w:p>
            <w:pPr>
              <w:numPr>
                <w:ilvl w:val="0"/>
                <w:numId w:val="57"/>
              </w:numPr>
              <w:tabs>
                <w:tab w:val="left" w:pos="420"/>
              </w:tabs>
              <w:ind w:left="420" w:hanging="420"/>
              <w:rPr>
                <w:rFonts w:ascii="宋体" w:hAnsi="宋体"/>
              </w:rPr>
            </w:pPr>
            <w:r>
              <w:rPr>
                <w:rFonts w:hint="eastAsia" w:ascii="宋体" w:hAnsi="宋体"/>
              </w:rPr>
              <w:t>要求是优质产品，规格应符合有关规范、标准和设计要求。</w:t>
            </w:r>
          </w:p>
          <w:p>
            <w:pPr>
              <w:numPr>
                <w:ilvl w:val="0"/>
                <w:numId w:val="57"/>
              </w:numPr>
              <w:tabs>
                <w:tab w:val="left" w:pos="420"/>
              </w:tabs>
              <w:ind w:left="420" w:hanging="420"/>
              <w:rPr>
                <w:rFonts w:ascii="宋体" w:hAnsi="宋体"/>
              </w:rPr>
            </w:pPr>
            <w:r>
              <w:rPr>
                <w:rFonts w:hint="eastAsia" w:ascii="宋体" w:hAnsi="宋体"/>
              </w:rPr>
              <w:t>喷头的商标、型号、公称动作温度、制造厂及生产年月等标志应齐全。</w:t>
            </w:r>
          </w:p>
          <w:p>
            <w:pPr>
              <w:numPr>
                <w:ilvl w:val="0"/>
                <w:numId w:val="57"/>
              </w:numPr>
              <w:tabs>
                <w:tab w:val="left" w:pos="420"/>
              </w:tabs>
              <w:ind w:left="420" w:hanging="420"/>
              <w:rPr>
                <w:rFonts w:ascii="宋体" w:hAnsi="宋体"/>
              </w:rPr>
            </w:pPr>
            <w:r>
              <w:rPr>
                <w:rFonts w:hint="eastAsia" w:ascii="宋体" w:hAnsi="宋体"/>
              </w:rPr>
              <w:t>喷头的金属部件应为镀铬黄铜，外观应无加工缺角和机械损伤，喷头螺纹密封面应无伤痕、毛刺、缺丝或断丝的现象。</w:t>
            </w:r>
          </w:p>
          <w:p>
            <w:pPr>
              <w:rPr>
                <w:rFonts w:ascii="宋体" w:hAnsi="宋体"/>
              </w:rPr>
            </w:pPr>
            <w:r>
              <w:rPr>
                <w:rFonts w:hint="eastAsia" w:ascii="宋体" w:hAnsi="宋体"/>
              </w:rPr>
              <w:t>5）喷头的形式、温度等级等应</w:t>
            </w:r>
            <w:r>
              <w:rPr>
                <w:rFonts w:hint="eastAsia"/>
              </w:rPr>
              <w:t>符合设计及有关规范要求。</w:t>
            </w:r>
          </w:p>
          <w:p>
            <w:pPr>
              <w:rPr>
                <w:rFonts w:ascii="宋体" w:hAnsi="宋体"/>
              </w:rPr>
            </w:pPr>
          </w:p>
        </w:tc>
        <w:tc>
          <w:tcPr>
            <w:tcW w:w="1080" w:type="dxa"/>
            <w:vAlign w:val="center"/>
          </w:tcPr>
          <w:p>
            <w:pPr>
              <w:spacing w:line="240" w:lineRule="atLeast"/>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998" w:hRule="atLeast"/>
        </w:trPr>
        <w:tc>
          <w:tcPr>
            <w:tcW w:w="468" w:type="dxa"/>
          </w:tcPr>
          <w:p>
            <w:pPr>
              <w:numPr>
                <w:ilvl w:val="0"/>
                <w:numId w:val="49"/>
              </w:numPr>
              <w:spacing w:line="240" w:lineRule="atLeast"/>
              <w:rPr>
                <w:rFonts w:ascii="宋体" w:hAnsi="宋体"/>
                <w:sz w:val="24"/>
              </w:rPr>
            </w:pPr>
            <w:r>
              <w:rPr>
                <w:rFonts w:hint="eastAsia" w:ascii="宋体" w:hAnsi="宋体"/>
                <w:sz w:val="24"/>
              </w:rPr>
              <w:t>10</w:t>
            </w:r>
          </w:p>
        </w:tc>
        <w:tc>
          <w:tcPr>
            <w:tcW w:w="900" w:type="dxa"/>
          </w:tcPr>
          <w:p>
            <w:pPr>
              <w:spacing w:line="240" w:lineRule="atLeast"/>
              <w:rPr>
                <w:rFonts w:ascii="宋体" w:hAnsi="宋体"/>
                <w:sz w:val="24"/>
              </w:rPr>
            </w:pPr>
            <w:r>
              <w:rPr>
                <w:rFonts w:hint="eastAsia"/>
              </w:rPr>
              <w:t>室内消火栓箱</w:t>
            </w:r>
          </w:p>
        </w:tc>
        <w:tc>
          <w:tcPr>
            <w:tcW w:w="7200" w:type="dxa"/>
            <w:tcBorders>
              <w:right w:val="single" w:color="auto" w:sz="4" w:space="0"/>
            </w:tcBorders>
            <w:vAlign w:val="center"/>
          </w:tcPr>
          <w:p>
            <w:pPr>
              <w:rPr>
                <w:rFonts w:ascii="宋体" w:hAnsi="宋体"/>
              </w:rPr>
            </w:pPr>
            <w:r>
              <w:rPr>
                <w:rFonts w:hint="eastAsia" w:ascii="宋体" w:hAnsi="宋体"/>
              </w:rPr>
              <w:t>一、商务要求：</w:t>
            </w:r>
          </w:p>
          <w:p>
            <w:pPr>
              <w:numPr>
                <w:ilvl w:val="0"/>
                <w:numId w:val="58"/>
              </w:numPr>
              <w:rPr>
                <w:rFonts w:ascii="宋体" w:hAnsi="宋体"/>
              </w:rPr>
            </w:pPr>
            <w:r>
              <w:rPr>
                <w:rFonts w:hint="eastAsia" w:ascii="宋体" w:hAnsi="宋体"/>
              </w:rPr>
              <w:t>制造商应通过ISO9001：2000质量管理体系认证。</w:t>
            </w:r>
          </w:p>
          <w:p>
            <w:pPr>
              <w:numPr>
                <w:ilvl w:val="0"/>
                <w:numId w:val="58"/>
              </w:numPr>
              <w:rPr>
                <w:rFonts w:ascii="宋体" w:hAnsi="宋体"/>
              </w:rPr>
            </w:pPr>
            <w:r>
              <w:rPr>
                <w:rFonts w:hint="eastAsia" w:ascii="宋体" w:hAnsi="宋体"/>
              </w:rPr>
              <w:t>制造商注册资本：不少于3000万人民币。</w:t>
            </w:r>
          </w:p>
          <w:p>
            <w:pPr>
              <w:numPr>
                <w:ilvl w:val="0"/>
                <w:numId w:val="58"/>
              </w:numPr>
              <w:rPr>
                <w:rFonts w:ascii="宋体" w:hAnsi="宋体"/>
              </w:rPr>
            </w:pPr>
            <w:r>
              <w:rPr>
                <w:rFonts w:hint="eastAsia" w:ascii="宋体" w:hAnsi="宋体"/>
              </w:rPr>
              <w:t>制造商在深圳地区设有完善的售后服务机构。</w:t>
            </w:r>
          </w:p>
          <w:p>
            <w:pPr>
              <w:rPr>
                <w:rFonts w:ascii="宋体" w:hAnsi="宋体"/>
              </w:rPr>
            </w:pPr>
          </w:p>
          <w:p>
            <w:pPr>
              <w:spacing w:line="360" w:lineRule="auto"/>
              <w:rPr>
                <w:rFonts w:ascii="宋体" w:hAnsi="宋体"/>
              </w:rPr>
            </w:pPr>
            <w:r>
              <w:rPr>
                <w:rFonts w:hint="eastAsia" w:ascii="宋体" w:hAnsi="宋体"/>
              </w:rPr>
              <w:t>二、技术要求：</w:t>
            </w:r>
          </w:p>
          <w:p>
            <w:pPr>
              <w:numPr>
                <w:ilvl w:val="0"/>
                <w:numId w:val="59"/>
              </w:numPr>
              <w:rPr>
                <w:rFonts w:ascii="宋体" w:hAnsi="宋体"/>
              </w:rPr>
            </w:pPr>
            <w:r>
              <w:rPr>
                <w:rFonts w:hint="eastAsia" w:ascii="宋体" w:hAnsi="宋体"/>
              </w:rPr>
              <w:t>产品须提供合格的型式检查报告。</w:t>
            </w:r>
          </w:p>
          <w:p>
            <w:pPr>
              <w:numPr>
                <w:ilvl w:val="0"/>
                <w:numId w:val="59"/>
              </w:numPr>
              <w:rPr>
                <w:rFonts w:ascii="宋体" w:hAnsi="宋体"/>
              </w:rPr>
            </w:pPr>
            <w:r>
              <w:rPr>
                <w:rFonts w:hint="eastAsia" w:ascii="宋体" w:hAnsi="宋体"/>
              </w:rPr>
              <w:t>消防水带须通过国家强制性认证。</w:t>
            </w:r>
          </w:p>
          <w:p>
            <w:pPr>
              <w:numPr>
                <w:ilvl w:val="0"/>
                <w:numId w:val="59"/>
              </w:numPr>
              <w:rPr>
                <w:rFonts w:ascii="宋体" w:hAnsi="宋体"/>
              </w:rPr>
            </w:pPr>
            <w:r>
              <w:rPr>
                <w:rFonts w:hint="eastAsia" w:ascii="宋体" w:hAnsi="宋体"/>
              </w:rPr>
              <w:t>规格应符合有关规范、标准和设计要求。并经消防部门备案认可。</w:t>
            </w:r>
          </w:p>
          <w:p>
            <w:pPr>
              <w:numPr>
                <w:ilvl w:val="0"/>
                <w:numId w:val="59"/>
              </w:numPr>
              <w:rPr>
                <w:rFonts w:ascii="宋体" w:hAnsi="宋体"/>
              </w:rPr>
            </w:pPr>
            <w:r>
              <w:rPr>
                <w:rFonts w:hint="eastAsia" w:ascii="宋体" w:hAnsi="宋体"/>
              </w:rPr>
              <w:t>消火栓阀为单出口型内扣式接口，栓口直径为DN65毫米。超压区域的消火栓采用减压稳压消火栓。</w:t>
            </w:r>
          </w:p>
          <w:p>
            <w:pPr>
              <w:numPr>
                <w:ilvl w:val="0"/>
                <w:numId w:val="59"/>
              </w:numPr>
              <w:rPr>
                <w:rFonts w:ascii="宋体" w:hAnsi="宋体"/>
              </w:rPr>
            </w:pPr>
            <w:r>
              <w:rPr>
                <w:rFonts w:hint="eastAsia" w:ascii="宋体" w:hAnsi="宋体"/>
              </w:rPr>
              <w:t>消火栓的开启方向须为反时针，并应有明显的中英文开关指标。</w:t>
            </w:r>
          </w:p>
          <w:p>
            <w:pPr>
              <w:numPr>
                <w:ilvl w:val="0"/>
                <w:numId w:val="59"/>
              </w:numPr>
              <w:rPr>
                <w:rFonts w:ascii="宋体" w:hAnsi="宋体"/>
              </w:rPr>
            </w:pPr>
            <w:r>
              <w:rPr>
                <w:rFonts w:hint="eastAsia" w:ascii="宋体" w:hAnsi="宋体"/>
              </w:rPr>
              <w:t>消防水龙带：长25米帆布或尼龙质，并须能抵受不小于2.7MP</w:t>
            </w:r>
            <w:r>
              <w:rPr>
                <w:rFonts w:ascii="宋体" w:hAnsi="宋体"/>
              </w:rPr>
              <w:t>a</w:t>
            </w:r>
            <w:r>
              <w:rPr>
                <w:rFonts w:hint="eastAsia" w:ascii="宋体" w:hAnsi="宋体"/>
              </w:rPr>
              <w:t>的破裂压力。</w:t>
            </w:r>
          </w:p>
          <w:p>
            <w:pPr>
              <w:numPr>
                <w:ilvl w:val="0"/>
                <w:numId w:val="59"/>
              </w:numPr>
              <w:rPr>
                <w:rFonts w:ascii="宋体" w:hAnsi="宋体"/>
              </w:rPr>
            </w:pPr>
            <w:r>
              <w:rPr>
                <w:rFonts w:hint="eastAsia" w:ascii="宋体" w:hAnsi="宋体"/>
              </w:rPr>
              <w:t>水枪：由铝合金铸造，表面须作阳极氧化处理。喷嘴口径为19毫米，其通过的流量不小于5升/秒。</w:t>
            </w:r>
          </w:p>
          <w:p>
            <w:pPr>
              <w:numPr>
                <w:ilvl w:val="0"/>
                <w:numId w:val="59"/>
              </w:numPr>
              <w:rPr>
                <w:rFonts w:ascii="宋体" w:hAnsi="宋体"/>
              </w:rPr>
            </w:pPr>
            <w:r>
              <w:rPr>
                <w:rFonts w:hint="eastAsia" w:ascii="宋体" w:hAnsi="宋体"/>
              </w:rPr>
              <w:t>消防卷盘；</w:t>
            </w:r>
          </w:p>
          <w:p>
            <w:pPr>
              <w:ind w:left="420"/>
              <w:rPr>
                <w:rFonts w:ascii="宋体" w:hAnsi="宋体"/>
              </w:rPr>
            </w:pPr>
            <w:r>
              <w:rPr>
                <w:rFonts w:ascii="宋体" w:hAnsi="宋体"/>
              </w:rPr>
              <w:t>①</w:t>
            </w:r>
            <w:r>
              <w:rPr>
                <w:rFonts w:hint="eastAsia" w:ascii="宋体" w:hAnsi="宋体"/>
              </w:rPr>
              <w:t xml:space="preserve"> 采用固定式或摇摆式。</w:t>
            </w:r>
          </w:p>
          <w:p>
            <w:pPr>
              <w:ind w:left="735" w:leftChars="200" w:hanging="315" w:hangingChars="150"/>
              <w:rPr>
                <w:rFonts w:ascii="宋体" w:hAnsi="宋体"/>
              </w:rPr>
            </w:pPr>
            <w:r>
              <w:rPr>
                <w:rFonts w:ascii="宋体" w:hAnsi="宋体"/>
              </w:rPr>
              <w:t>②</w:t>
            </w:r>
            <w:r>
              <w:rPr>
                <w:rFonts w:hint="eastAsia" w:ascii="宋体" w:hAnsi="宋体"/>
              </w:rPr>
              <w:t xml:space="preserve"> 软管应为一条长25米、内径19毫米的加强橡胶喉管，并应容易地在150毫米直径的卷盘上绕卷而不呈屈曲状态，还能抵受不小于2.7MP</w:t>
            </w:r>
            <w:r>
              <w:rPr>
                <w:rFonts w:ascii="宋体" w:hAnsi="宋体"/>
              </w:rPr>
              <w:t>a</w:t>
            </w:r>
            <w:r>
              <w:rPr>
                <w:rFonts w:hint="eastAsia" w:ascii="宋体" w:hAnsi="宋体"/>
              </w:rPr>
              <w:t>的破裂压力。</w:t>
            </w:r>
          </w:p>
          <w:p>
            <w:pPr>
              <w:ind w:left="420"/>
              <w:rPr>
                <w:rFonts w:ascii="宋体" w:hAnsi="宋体"/>
              </w:rPr>
            </w:pPr>
            <w:r>
              <w:rPr>
                <w:rFonts w:ascii="宋体" w:hAnsi="宋体"/>
              </w:rPr>
              <w:t>③</w:t>
            </w:r>
            <w:r>
              <w:rPr>
                <w:rFonts w:hint="eastAsia" w:ascii="宋体" w:hAnsi="宋体"/>
              </w:rPr>
              <w:t xml:space="preserve"> 鼓盘应由重型镀锌铁片制造。</w:t>
            </w:r>
          </w:p>
          <w:p>
            <w:pPr>
              <w:ind w:left="735" w:leftChars="200" w:hanging="315" w:hangingChars="150"/>
              <w:rPr>
                <w:rFonts w:ascii="宋体" w:hAnsi="宋体"/>
              </w:rPr>
            </w:pPr>
            <w:r>
              <w:rPr>
                <w:rFonts w:ascii="宋体" w:hAnsi="宋体"/>
              </w:rPr>
              <w:t>④</w:t>
            </w:r>
            <w:r>
              <w:rPr>
                <w:rFonts w:hint="eastAsia" w:ascii="宋体" w:hAnsi="宋体"/>
              </w:rPr>
              <w:t xml:space="preserve"> 软管应配有一个6.0毫米口径的喷嘴连带一个简易开关的双向阀，双向阀不得为弹簧作用型。喷嘴的射流在最低工作压力时不得少于6米长。</w:t>
            </w:r>
          </w:p>
          <w:p>
            <w:pPr>
              <w:pStyle w:val="21"/>
              <w:ind w:left="720" w:leftChars="200" w:hanging="300" w:hangingChars="150"/>
              <w:rPr>
                <w:rFonts w:hAnsi="宋体"/>
              </w:rPr>
            </w:pPr>
            <w:r>
              <w:rPr>
                <w:rFonts w:hAnsi="宋体"/>
              </w:rPr>
              <w:t>⑤</w:t>
            </w:r>
            <w:r>
              <w:rPr>
                <w:rFonts w:hint="eastAsia" w:hAnsi="宋体"/>
              </w:rPr>
              <w:t xml:space="preserve"> 在每个消防卷盘的位置需提供一块不少于1.5毫米厚的不锈钢操作指示牌，牌上刻明使用卷盘的指示和说明。</w:t>
            </w:r>
          </w:p>
          <w:p>
            <w:pPr>
              <w:pStyle w:val="21"/>
              <w:spacing w:line="360" w:lineRule="auto"/>
              <w:ind w:left="200" w:hanging="200" w:hangingChars="100"/>
              <w:rPr>
                <w:rFonts w:hAnsi="宋体"/>
              </w:rPr>
            </w:pPr>
            <w:r>
              <w:rPr>
                <w:rFonts w:hint="eastAsia" w:hAnsi="宋体"/>
              </w:rPr>
              <w:t>9）消火栓箱质量应满足GB14561《消火栓箱》要求：</w:t>
            </w:r>
          </w:p>
          <w:p>
            <w:pPr>
              <w:pStyle w:val="21"/>
              <w:ind w:left="720" w:leftChars="200" w:hanging="300" w:hangingChars="150"/>
              <w:rPr>
                <w:rFonts w:hAnsi="宋体"/>
              </w:rPr>
            </w:pPr>
            <w:r>
              <w:rPr>
                <w:rFonts w:hint="eastAsia" w:hAnsi="宋体"/>
              </w:rPr>
              <w:t>① 箱体应使用钢板、箱门框使用铝合金材料制造，材料厚度不小于</w:t>
            </w:r>
            <w:r>
              <w:rPr>
                <w:rFonts w:hAnsi="宋体"/>
              </w:rPr>
              <w:t>1.2mm</w:t>
            </w:r>
            <w:r>
              <w:rPr>
                <w:rFonts w:hint="eastAsia" w:hAnsi="宋体"/>
              </w:rPr>
              <w:t>；箱门玻璃采用磨砂玻璃或茶色玻璃，厚度不得小于3mm；水带挂架应用耐腐蚀材料制成，若用其他材料必须进行耐腐蚀处理；</w:t>
            </w:r>
          </w:p>
          <w:p>
            <w:pPr>
              <w:pStyle w:val="21"/>
              <w:ind w:left="420"/>
              <w:rPr>
                <w:rFonts w:hAnsi="宋体"/>
              </w:rPr>
            </w:pPr>
            <w:r>
              <w:rPr>
                <w:rFonts w:hint="eastAsia" w:hAnsi="宋体"/>
              </w:rPr>
              <w:t>② 箱门正面零部件凸出表面的高度&lt;15mm，其余各面零部件凸出表面的高度&lt;10mm；箱体内外表面应作防腐处理。进行涂漆防腐处理的箱体，其涂层应均匀一致，平整光亮、色泽美观，不得有气泡、流痕、剥落等缺陷；（箱门四角必须经过包角处理）</w:t>
            </w:r>
          </w:p>
          <w:p>
            <w:pPr>
              <w:pStyle w:val="21"/>
              <w:ind w:left="720" w:leftChars="200" w:hanging="300" w:hangingChars="150"/>
              <w:rPr>
                <w:rFonts w:hAnsi="宋体"/>
              </w:rPr>
            </w:pPr>
            <w:r>
              <w:rPr>
                <w:rFonts w:hint="eastAsia" w:hAnsi="宋体"/>
              </w:rPr>
              <w:t>③ 固定水带挂架的箱面应能承受40Nm的力矩，箱体该面的最大凹陷变形&lt;2mm；</w:t>
            </w:r>
          </w:p>
          <w:p>
            <w:pPr>
              <w:pStyle w:val="21"/>
              <w:ind w:left="720" w:leftChars="200" w:hanging="300" w:hangingChars="150"/>
              <w:rPr>
                <w:rFonts w:hAnsi="宋体"/>
              </w:rPr>
            </w:pPr>
            <w:r>
              <w:rPr>
                <w:rFonts w:hint="eastAsia" w:hAnsi="宋体"/>
              </w:rPr>
              <w:t>④ 箱门正面应以直观、醒目、匀整的字体标准注出“消火栓”字样，并应设置名牌；箱体应设置门锁，开启操作灵活、可靠；</w:t>
            </w:r>
          </w:p>
          <w:p>
            <w:pPr>
              <w:pStyle w:val="21"/>
              <w:ind w:left="720" w:leftChars="200" w:hanging="300" w:hangingChars="150"/>
              <w:rPr>
                <w:rFonts w:hAnsi="宋体"/>
              </w:rPr>
            </w:pPr>
            <w:r>
              <w:rPr>
                <w:rFonts w:hint="eastAsia" w:hAnsi="宋体"/>
              </w:rPr>
              <w:t>箱门开启角度&gt;175°，开启拉力&lt;50N；</w:t>
            </w:r>
          </w:p>
          <w:p>
            <w:pPr>
              <w:pStyle w:val="21"/>
              <w:ind w:left="420"/>
              <w:rPr>
                <w:rFonts w:hAnsi="宋体"/>
              </w:rPr>
            </w:pPr>
            <w:r>
              <w:rPr>
                <w:rFonts w:hint="eastAsia" w:hAnsi="宋体"/>
              </w:rPr>
              <w:t>⑤ 箱内电气设备技术要求见下表：</w:t>
            </w:r>
          </w:p>
          <w:tbl>
            <w:tblPr>
              <w:tblStyle w:val="43"/>
              <w:tblpPr w:leftFromText="181" w:rightFromText="181" w:vertAnchor="text" w:horzAnchor="margin" w:tblpY="1"/>
              <w:tblOverlap w:val="never"/>
              <w:tblW w:w="59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1134"/>
              <w:gridCol w:w="43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83" w:hRule="atLeast"/>
              </w:trPr>
              <w:tc>
                <w:tcPr>
                  <w:tcW w:w="426" w:type="dxa"/>
                  <w:vMerge w:val="restart"/>
                  <w:textDirection w:val="tbRlV"/>
                  <w:vAlign w:val="center"/>
                </w:tcPr>
                <w:p>
                  <w:pPr>
                    <w:pStyle w:val="21"/>
                    <w:jc w:val="center"/>
                    <w:rPr>
                      <w:rFonts w:hAnsi="宋体"/>
                    </w:rPr>
                  </w:pPr>
                  <w:r>
                    <w:rPr>
                      <w:rFonts w:hint="eastAsia" w:hAnsi="宋体"/>
                    </w:rPr>
                    <w:t>电气器备</w:t>
                  </w:r>
                </w:p>
              </w:tc>
              <w:tc>
                <w:tcPr>
                  <w:tcW w:w="1134" w:type="dxa"/>
                  <w:vAlign w:val="center"/>
                </w:tcPr>
                <w:p>
                  <w:pPr>
                    <w:pStyle w:val="21"/>
                    <w:jc w:val="center"/>
                    <w:rPr>
                      <w:rFonts w:hAnsi="宋体"/>
                    </w:rPr>
                  </w:pPr>
                  <w:r>
                    <w:rPr>
                      <w:rFonts w:hint="eastAsia" w:hAnsi="宋体"/>
                    </w:rPr>
                    <w:t>操作性能</w:t>
                  </w:r>
                </w:p>
              </w:tc>
              <w:tc>
                <w:tcPr>
                  <w:tcW w:w="4394" w:type="dxa"/>
                  <w:tcBorders>
                    <w:right w:val="single" w:color="auto" w:sz="4" w:space="0"/>
                  </w:tcBorders>
                  <w:vAlign w:val="center"/>
                </w:tcPr>
                <w:p>
                  <w:pPr>
                    <w:pStyle w:val="21"/>
                    <w:jc w:val="center"/>
                    <w:rPr>
                      <w:rFonts w:hAnsi="宋体"/>
                    </w:rPr>
                  </w:pPr>
                  <w:r>
                    <w:rPr>
                      <w:rFonts w:hint="eastAsia" w:hAnsi="宋体"/>
                    </w:rPr>
                    <w:t>按钮应有防止误动作性能，操作方便、报警可靠。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31" w:hRule="atLeast"/>
              </w:trPr>
              <w:tc>
                <w:tcPr>
                  <w:tcW w:w="426" w:type="dxa"/>
                  <w:vMerge w:val="continue"/>
                  <w:vAlign w:val="center"/>
                </w:tcPr>
                <w:p>
                  <w:pPr>
                    <w:pStyle w:val="21"/>
                    <w:jc w:val="center"/>
                    <w:rPr>
                      <w:rFonts w:hAnsi="宋体"/>
                    </w:rPr>
                  </w:pPr>
                </w:p>
              </w:tc>
              <w:tc>
                <w:tcPr>
                  <w:tcW w:w="1134" w:type="dxa"/>
                  <w:vAlign w:val="center"/>
                </w:tcPr>
                <w:p>
                  <w:pPr>
                    <w:pStyle w:val="21"/>
                    <w:jc w:val="center"/>
                    <w:rPr>
                      <w:rFonts w:hAnsi="宋体"/>
                    </w:rPr>
                  </w:pPr>
                  <w:r>
                    <w:rPr>
                      <w:rFonts w:hint="eastAsia" w:hAnsi="宋体"/>
                    </w:rPr>
                    <w:t>指示灯能</w:t>
                  </w:r>
                </w:p>
              </w:tc>
              <w:tc>
                <w:tcPr>
                  <w:tcW w:w="4394" w:type="dxa"/>
                  <w:tcBorders>
                    <w:right w:val="single" w:color="auto" w:sz="4" w:space="0"/>
                  </w:tcBorders>
                  <w:vAlign w:val="center"/>
                </w:tcPr>
                <w:p>
                  <w:pPr>
                    <w:pStyle w:val="21"/>
                    <w:jc w:val="center"/>
                    <w:rPr>
                      <w:rFonts w:hAnsi="宋体"/>
                    </w:rPr>
                  </w:pPr>
                  <w:r>
                    <w:rPr>
                      <w:rFonts w:hint="eastAsia" w:hAnsi="宋体"/>
                    </w:rPr>
                    <w:t>防火、防尘、为红色，距3m处清晰可见。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07" w:hRule="atLeast"/>
              </w:trPr>
              <w:tc>
                <w:tcPr>
                  <w:tcW w:w="426" w:type="dxa"/>
                  <w:vMerge w:val="continue"/>
                  <w:vAlign w:val="center"/>
                </w:tcPr>
                <w:p>
                  <w:pPr>
                    <w:pStyle w:val="21"/>
                    <w:jc w:val="center"/>
                    <w:rPr>
                      <w:rFonts w:hAnsi="宋体"/>
                    </w:rPr>
                  </w:pPr>
                </w:p>
              </w:tc>
              <w:tc>
                <w:tcPr>
                  <w:tcW w:w="1134" w:type="dxa"/>
                  <w:vAlign w:val="center"/>
                </w:tcPr>
                <w:p>
                  <w:pPr>
                    <w:pStyle w:val="21"/>
                    <w:jc w:val="center"/>
                    <w:rPr>
                      <w:rFonts w:hAnsi="宋体"/>
                    </w:rPr>
                  </w:pPr>
                  <w:r>
                    <w:rPr>
                      <w:rFonts w:hint="eastAsia" w:hAnsi="宋体"/>
                    </w:rPr>
                    <w:t>安全性能</w:t>
                  </w:r>
                </w:p>
              </w:tc>
              <w:tc>
                <w:tcPr>
                  <w:tcW w:w="4394" w:type="dxa"/>
                  <w:tcBorders>
                    <w:right w:val="single" w:color="auto" w:sz="4" w:space="0"/>
                  </w:tcBorders>
                  <w:vAlign w:val="center"/>
                </w:tcPr>
                <w:p>
                  <w:pPr>
                    <w:pStyle w:val="21"/>
                    <w:jc w:val="center"/>
                    <w:rPr>
                      <w:rFonts w:hAnsi="宋体"/>
                    </w:rPr>
                  </w:pPr>
                  <w:r>
                    <w:rPr>
                      <w:rFonts w:hint="eastAsia" w:hAnsi="宋体"/>
                    </w:rPr>
                    <w:t>绝缘电阻&gt;50mΩ</w:t>
                  </w:r>
                </w:p>
              </w:tc>
            </w:tr>
          </w:tbl>
          <w:p>
            <w:pPr>
              <w:pStyle w:val="21"/>
              <w:spacing w:line="360" w:lineRule="auto"/>
              <w:rPr>
                <w:rFonts w:hAnsi="宋体"/>
              </w:rPr>
            </w:pPr>
          </w:p>
          <w:p>
            <w:pPr>
              <w:pStyle w:val="21"/>
              <w:spacing w:line="360" w:lineRule="auto"/>
              <w:rPr>
                <w:rFonts w:hAnsi="宋体"/>
              </w:rPr>
            </w:pPr>
          </w:p>
          <w:p>
            <w:pPr>
              <w:pStyle w:val="21"/>
              <w:spacing w:line="360" w:lineRule="auto"/>
              <w:rPr>
                <w:rFonts w:hAnsi="宋体"/>
              </w:rPr>
            </w:pPr>
          </w:p>
          <w:p>
            <w:pPr>
              <w:pStyle w:val="21"/>
              <w:spacing w:line="360" w:lineRule="auto"/>
              <w:rPr>
                <w:rFonts w:hAnsi="宋体"/>
              </w:rPr>
            </w:pPr>
          </w:p>
        </w:tc>
        <w:tc>
          <w:tcPr>
            <w:tcW w:w="1080" w:type="dxa"/>
            <w:tcBorders>
              <w:left w:val="single" w:color="auto" w:sz="4" w:space="0"/>
            </w:tcBorders>
            <w:vAlign w:val="center"/>
          </w:tcPr>
          <w:p>
            <w:pPr>
              <w:adjustRightInd w:val="0"/>
              <w:snapToGrid w:val="0"/>
              <w:rPr>
                <w:rFonts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457" w:hRule="atLeast"/>
        </w:trPr>
        <w:tc>
          <w:tcPr>
            <w:tcW w:w="468" w:type="dxa"/>
          </w:tcPr>
          <w:p>
            <w:pPr>
              <w:numPr>
                <w:ilvl w:val="0"/>
                <w:numId w:val="49"/>
              </w:numPr>
              <w:spacing w:line="240" w:lineRule="atLeast"/>
              <w:rPr>
                <w:rFonts w:ascii="宋体" w:hAnsi="宋体"/>
                <w:sz w:val="24"/>
              </w:rPr>
            </w:pPr>
          </w:p>
        </w:tc>
        <w:tc>
          <w:tcPr>
            <w:tcW w:w="900" w:type="dxa"/>
          </w:tcPr>
          <w:p>
            <w:pPr>
              <w:spacing w:line="240" w:lineRule="atLeast"/>
              <w:rPr>
                <w:rFonts w:ascii="宋体" w:hAnsi="宋体"/>
              </w:rPr>
            </w:pPr>
            <w:r>
              <w:rPr>
                <w:rFonts w:hint="eastAsia" w:ascii="宋体" w:hAnsi="宋体"/>
              </w:rPr>
              <w:t>消防水泵及稳压设备</w:t>
            </w:r>
          </w:p>
        </w:tc>
        <w:tc>
          <w:tcPr>
            <w:tcW w:w="7200" w:type="dxa"/>
            <w:tcBorders>
              <w:right w:val="single" w:color="auto" w:sz="4" w:space="0"/>
            </w:tcBorders>
            <w:vAlign w:val="center"/>
          </w:tcPr>
          <w:p>
            <w:pPr>
              <w:rPr>
                <w:rFonts w:ascii="宋体" w:hAnsi="宋体"/>
              </w:rPr>
            </w:pPr>
            <w:r>
              <w:rPr>
                <w:rFonts w:hint="eastAsia" w:ascii="宋体" w:hAnsi="宋体"/>
              </w:rPr>
              <w:t>一、商务要求：</w:t>
            </w:r>
          </w:p>
          <w:p>
            <w:pPr>
              <w:numPr>
                <w:ilvl w:val="0"/>
                <w:numId w:val="60"/>
              </w:numPr>
              <w:rPr>
                <w:rFonts w:ascii="宋体" w:hAnsi="宋体"/>
              </w:rPr>
            </w:pPr>
            <w:r>
              <w:rPr>
                <w:rFonts w:hint="eastAsia" w:ascii="宋体" w:hAnsi="宋体"/>
              </w:rPr>
              <w:t>制造商应通过ISO9001：2000质量管理体系认证。</w:t>
            </w:r>
          </w:p>
          <w:p>
            <w:pPr>
              <w:numPr>
                <w:ilvl w:val="0"/>
                <w:numId w:val="60"/>
              </w:numPr>
              <w:rPr>
                <w:rFonts w:ascii="宋体" w:hAnsi="宋体"/>
              </w:rPr>
            </w:pPr>
            <w:r>
              <w:rPr>
                <w:rFonts w:hint="eastAsia" w:ascii="宋体" w:hAnsi="宋体"/>
              </w:rPr>
              <w:t>制造商注册资本：不少于2000万人民币。</w:t>
            </w:r>
          </w:p>
          <w:p>
            <w:pPr>
              <w:numPr>
                <w:ilvl w:val="0"/>
                <w:numId w:val="60"/>
              </w:numPr>
              <w:rPr>
                <w:rFonts w:ascii="宋体" w:hAnsi="宋体"/>
              </w:rPr>
            </w:pPr>
            <w:r>
              <w:rPr>
                <w:rFonts w:hint="eastAsia" w:ascii="宋体" w:hAnsi="宋体"/>
                <w:szCs w:val="21"/>
              </w:rPr>
              <w:t>采用国家知名品牌产品，产品应符合有关国家标准和设计要求</w:t>
            </w:r>
            <w:r>
              <w:rPr>
                <w:rFonts w:hint="eastAsia" w:ascii="宋体" w:hAnsi="宋体"/>
              </w:rPr>
              <w:t>。</w:t>
            </w:r>
          </w:p>
          <w:p>
            <w:pPr>
              <w:numPr>
                <w:ilvl w:val="0"/>
                <w:numId w:val="60"/>
              </w:numPr>
              <w:rPr>
                <w:rFonts w:ascii="宋体" w:hAnsi="宋体"/>
              </w:rPr>
            </w:pPr>
            <w:r>
              <w:rPr>
                <w:rFonts w:hint="eastAsia" w:ascii="宋体" w:hAnsi="宋体"/>
                <w:szCs w:val="21"/>
              </w:rPr>
              <w:t>水泵必须符合国家节能产品标准。</w:t>
            </w:r>
          </w:p>
          <w:p>
            <w:pPr>
              <w:numPr>
                <w:ilvl w:val="0"/>
                <w:numId w:val="60"/>
              </w:numPr>
              <w:rPr>
                <w:rFonts w:ascii="宋体" w:hAnsi="宋体"/>
              </w:rPr>
            </w:pPr>
            <w:r>
              <w:rPr>
                <w:rFonts w:hint="eastAsia" w:ascii="宋体" w:hAnsi="宋体"/>
              </w:rPr>
              <w:t>制造商在深圳地区设有完善的售后服务机构。</w:t>
            </w:r>
          </w:p>
          <w:p>
            <w:pPr>
              <w:numPr>
                <w:ilvl w:val="0"/>
                <w:numId w:val="60"/>
              </w:numPr>
            </w:pPr>
            <w:r>
              <w:rPr>
                <w:rFonts w:hint="eastAsia"/>
              </w:rPr>
              <w:t>产品通过国家强制性认证。</w:t>
            </w:r>
          </w:p>
          <w:p>
            <w:pPr>
              <w:rPr>
                <w:rFonts w:ascii="宋体" w:hAnsi="宋体"/>
              </w:rPr>
            </w:pPr>
          </w:p>
          <w:p>
            <w:pPr>
              <w:spacing w:line="360" w:lineRule="auto"/>
              <w:rPr>
                <w:rFonts w:ascii="宋体" w:hAnsi="宋体"/>
              </w:rPr>
            </w:pPr>
            <w:r>
              <w:rPr>
                <w:rFonts w:hint="eastAsia" w:ascii="宋体" w:hAnsi="宋体"/>
              </w:rPr>
              <w:t>二、技术要求：</w:t>
            </w:r>
          </w:p>
          <w:p>
            <w:pPr>
              <w:numPr>
                <w:ilvl w:val="0"/>
                <w:numId w:val="61"/>
              </w:numPr>
              <w:tabs>
                <w:tab w:val="left" w:pos="420"/>
                <w:tab w:val="clear" w:pos="845"/>
              </w:tabs>
              <w:ind w:left="420"/>
              <w:rPr>
                <w:rFonts w:ascii="宋体" w:hAnsi="宋体"/>
              </w:rPr>
            </w:pPr>
            <w:r>
              <w:rPr>
                <w:rFonts w:hint="eastAsia" w:ascii="宋体" w:hAnsi="宋体"/>
              </w:rPr>
              <w:t>水泵采用离心泵，泵壳</w:t>
            </w:r>
            <w:r>
              <w:rPr>
                <w:rFonts w:hint="eastAsia" w:ascii="宋体" w:hAnsi="宋体"/>
                <w:szCs w:val="21"/>
              </w:rPr>
              <w:t>采用优质铸铁或不锈钢材质；叶轮采用青铜或不锈钢材质；泵轴采用不锈钢材质。</w:t>
            </w:r>
          </w:p>
          <w:p>
            <w:pPr>
              <w:numPr>
                <w:ilvl w:val="0"/>
                <w:numId w:val="61"/>
              </w:numPr>
              <w:tabs>
                <w:tab w:val="left" w:pos="420"/>
                <w:tab w:val="clear" w:pos="845"/>
              </w:tabs>
              <w:ind w:left="420"/>
              <w:rPr>
                <w:rFonts w:ascii="宋体" w:hAnsi="宋体"/>
              </w:rPr>
            </w:pPr>
            <w:r>
              <w:rPr>
                <w:rFonts w:hint="eastAsia" w:ascii="宋体" w:hAnsi="宋体"/>
              </w:rPr>
              <w:t>水泵须保证能安全运行至少10，000小时。</w:t>
            </w:r>
          </w:p>
          <w:p>
            <w:pPr>
              <w:numPr>
                <w:ilvl w:val="0"/>
                <w:numId w:val="61"/>
              </w:numPr>
              <w:tabs>
                <w:tab w:val="left" w:pos="420"/>
                <w:tab w:val="clear" w:pos="845"/>
              </w:tabs>
              <w:ind w:left="420"/>
              <w:rPr>
                <w:rFonts w:ascii="宋体" w:hAnsi="宋体"/>
              </w:rPr>
            </w:pPr>
            <w:r>
              <w:rPr>
                <w:rFonts w:hint="eastAsia" w:ascii="宋体" w:hAnsi="宋体"/>
              </w:rPr>
              <w:t>泵的密封采用机械密封，采用的材料须等于或优于碳化钨。</w:t>
            </w:r>
          </w:p>
          <w:p>
            <w:pPr>
              <w:numPr>
                <w:ilvl w:val="0"/>
                <w:numId w:val="61"/>
              </w:numPr>
              <w:tabs>
                <w:tab w:val="left" w:pos="420"/>
                <w:tab w:val="clear" w:pos="845"/>
              </w:tabs>
              <w:ind w:left="420"/>
              <w:rPr>
                <w:rFonts w:ascii="宋体" w:hAnsi="宋体"/>
              </w:rPr>
            </w:pPr>
            <w:r>
              <w:rPr>
                <w:rFonts w:hint="eastAsia" w:ascii="宋体" w:hAnsi="宋体"/>
              </w:rPr>
              <w:t>轴承的服务寿命不低于80，000小时，轴承须选配名牌产品。</w:t>
            </w:r>
          </w:p>
          <w:p>
            <w:pPr>
              <w:numPr>
                <w:ilvl w:val="0"/>
                <w:numId w:val="61"/>
              </w:numPr>
              <w:tabs>
                <w:tab w:val="left" w:pos="420"/>
                <w:tab w:val="clear" w:pos="845"/>
              </w:tabs>
              <w:ind w:left="420"/>
              <w:rPr>
                <w:rFonts w:ascii="宋体" w:hAnsi="宋体"/>
              </w:rPr>
            </w:pPr>
            <w:r>
              <w:rPr>
                <w:rFonts w:hint="eastAsia" w:ascii="宋体" w:hAnsi="宋体"/>
              </w:rPr>
              <w:t>选配名牌优质电机，防护等级不低于IP54（</w:t>
            </w:r>
            <w:r>
              <w:rPr>
                <w:rFonts w:hint="eastAsia" w:ascii="宋体" w:hAnsi="宋体"/>
                <w:szCs w:val="21"/>
              </w:rPr>
              <w:t>室外IP55）</w:t>
            </w:r>
            <w:r>
              <w:rPr>
                <w:rFonts w:hint="eastAsia" w:ascii="宋体" w:hAnsi="宋体"/>
              </w:rPr>
              <w:t>，绝缘等级不低于F级。</w:t>
            </w:r>
          </w:p>
          <w:p>
            <w:pPr>
              <w:numPr>
                <w:ilvl w:val="0"/>
                <w:numId w:val="61"/>
              </w:numPr>
              <w:tabs>
                <w:tab w:val="left" w:pos="420"/>
                <w:tab w:val="clear" w:pos="845"/>
              </w:tabs>
              <w:ind w:left="420"/>
              <w:rPr>
                <w:rFonts w:ascii="宋体" w:hAnsi="宋体"/>
              </w:rPr>
            </w:pPr>
            <w:r>
              <w:rPr>
                <w:rFonts w:hint="eastAsia" w:ascii="宋体" w:hAnsi="宋体"/>
              </w:rPr>
              <w:t>厂家须对水泵的结构、选用的部件材质、密封材料作出详细说明，水泵及电机应有原生产厂成套出厂的证明书。</w:t>
            </w:r>
          </w:p>
          <w:p>
            <w:pPr>
              <w:numPr>
                <w:ilvl w:val="0"/>
                <w:numId w:val="61"/>
              </w:numPr>
              <w:tabs>
                <w:tab w:val="left" w:pos="420"/>
                <w:tab w:val="clear" w:pos="845"/>
              </w:tabs>
              <w:ind w:left="420"/>
              <w:rPr>
                <w:rFonts w:ascii="宋体" w:hAnsi="宋体"/>
                <w:szCs w:val="21"/>
              </w:rPr>
            </w:pPr>
            <w:r>
              <w:rPr>
                <w:rFonts w:hint="eastAsia" w:ascii="宋体" w:hAnsi="宋体"/>
              </w:rPr>
              <w:t>由水泵厂家配套提供水泵控制柜，控制柜</w:t>
            </w:r>
            <w:r>
              <w:rPr>
                <w:rFonts w:hint="eastAsia" w:ascii="宋体" w:hAnsi="宋体"/>
                <w:szCs w:val="21"/>
              </w:rPr>
              <w:t>要求：</w:t>
            </w:r>
          </w:p>
          <w:p>
            <w:pPr>
              <w:spacing w:line="240" w:lineRule="atLeast"/>
              <w:ind w:left="630" w:leftChars="150" w:hanging="315" w:hangingChars="150"/>
              <w:rPr>
                <w:rFonts w:ascii="宋体" w:hAnsi="宋体"/>
                <w:szCs w:val="21"/>
              </w:rPr>
            </w:pPr>
            <w:r>
              <w:rPr>
                <w:rFonts w:ascii="宋体" w:hAnsi="宋体"/>
                <w:szCs w:val="21"/>
              </w:rPr>
              <w:t>①</w:t>
            </w:r>
            <w:r>
              <w:rPr>
                <w:rFonts w:hint="eastAsia" w:ascii="宋体" w:hAnsi="宋体"/>
                <w:szCs w:val="21"/>
              </w:rPr>
              <w:t xml:space="preserve"> 应有观察故障的显示，应有对各类故障进行自检、报警。对可恢复的故障应能自动或手动消警，恢复正常运行。</w:t>
            </w:r>
          </w:p>
          <w:p>
            <w:pPr>
              <w:spacing w:line="240" w:lineRule="atLeast"/>
              <w:ind w:left="630" w:leftChars="150" w:hanging="315" w:hangingChars="150"/>
              <w:rPr>
                <w:rFonts w:ascii="宋体" w:hAnsi="宋体"/>
                <w:szCs w:val="21"/>
              </w:rPr>
            </w:pPr>
            <w:r>
              <w:rPr>
                <w:rFonts w:ascii="宋体" w:hAnsi="宋体"/>
                <w:szCs w:val="21"/>
              </w:rPr>
              <w:t>②</w:t>
            </w:r>
            <w:r>
              <w:rPr>
                <w:rFonts w:hint="eastAsia" w:ascii="宋体" w:hAnsi="宋体"/>
                <w:szCs w:val="21"/>
              </w:rPr>
              <w:t xml:space="preserve"> 应有过载、短路、过压、缺相、欠压、过热及其他故障的保护功能。</w:t>
            </w:r>
          </w:p>
          <w:p>
            <w:pPr>
              <w:spacing w:line="240" w:lineRule="atLeast"/>
              <w:ind w:left="630" w:leftChars="150" w:hanging="315" w:hangingChars="150"/>
              <w:rPr>
                <w:rFonts w:ascii="宋体" w:hAnsi="宋体"/>
                <w:szCs w:val="21"/>
              </w:rPr>
            </w:pPr>
            <w:r>
              <w:rPr>
                <w:rFonts w:ascii="宋体" w:hAnsi="宋体"/>
                <w:szCs w:val="21"/>
              </w:rPr>
              <w:t>③</w:t>
            </w:r>
            <w:r>
              <w:rPr>
                <w:rFonts w:hint="eastAsia" w:ascii="宋体" w:hAnsi="宋体"/>
                <w:szCs w:val="21"/>
              </w:rPr>
              <w:t xml:space="preserve"> 应有停电后复电时自动启动功能。</w:t>
            </w:r>
          </w:p>
          <w:p>
            <w:pPr>
              <w:spacing w:line="240" w:lineRule="atLeast"/>
              <w:ind w:left="735" w:leftChars="150" w:hanging="420" w:hangingChars="200"/>
              <w:rPr>
                <w:rFonts w:ascii="宋体" w:hAnsi="宋体"/>
                <w:szCs w:val="21"/>
              </w:rPr>
            </w:pPr>
            <w:r>
              <w:rPr>
                <w:rFonts w:ascii="宋体" w:hAnsi="宋体"/>
                <w:szCs w:val="21"/>
              </w:rPr>
              <w:t>④</w:t>
            </w:r>
            <w:r>
              <w:rPr>
                <w:rFonts w:hint="eastAsia" w:ascii="宋体" w:hAnsi="宋体"/>
                <w:szCs w:val="21"/>
              </w:rPr>
              <w:t xml:space="preserve"> 应有自动和手动两种控制，稳压泵有定时轮换运行的功能。</w:t>
            </w:r>
          </w:p>
          <w:p>
            <w:pPr>
              <w:spacing w:line="240" w:lineRule="atLeast"/>
              <w:ind w:left="630" w:leftChars="150" w:hanging="315" w:hangingChars="150"/>
              <w:rPr>
                <w:rFonts w:ascii="宋体" w:hAnsi="宋体"/>
                <w:szCs w:val="21"/>
              </w:rPr>
            </w:pPr>
            <w:r>
              <w:rPr>
                <w:rFonts w:ascii="宋体" w:hAnsi="宋体"/>
                <w:szCs w:val="21"/>
              </w:rPr>
              <w:t>⑤</w:t>
            </w:r>
            <w:r>
              <w:rPr>
                <w:rFonts w:hint="eastAsia" w:ascii="宋体" w:hAnsi="宋体"/>
                <w:szCs w:val="21"/>
              </w:rPr>
              <w:t xml:space="preserve"> 控制柜留BA、FA系统的通讯接口，通讯接口和通讯协议要无条件符合BA、</w:t>
            </w:r>
            <w:r>
              <w:rPr>
                <w:rFonts w:ascii="宋体" w:hAnsi="宋体"/>
                <w:szCs w:val="21"/>
              </w:rPr>
              <w:t>FA</w:t>
            </w:r>
            <w:r>
              <w:rPr>
                <w:rFonts w:hint="eastAsia" w:ascii="宋体" w:hAnsi="宋体"/>
                <w:szCs w:val="21"/>
              </w:rPr>
              <w:t>系统的要求并配合相关调试。</w:t>
            </w:r>
          </w:p>
          <w:p>
            <w:pPr>
              <w:numPr>
                <w:ilvl w:val="0"/>
                <w:numId w:val="61"/>
              </w:numPr>
              <w:tabs>
                <w:tab w:val="left" w:pos="420"/>
                <w:tab w:val="clear" w:pos="845"/>
              </w:tabs>
              <w:spacing w:line="240" w:lineRule="atLeast"/>
              <w:ind w:left="420"/>
              <w:rPr>
                <w:rFonts w:ascii="宋体" w:hAnsi="宋体"/>
                <w:szCs w:val="21"/>
              </w:rPr>
            </w:pPr>
            <w:r>
              <w:rPr>
                <w:rFonts w:hint="eastAsia" w:ascii="宋体" w:hAnsi="宋体"/>
                <w:szCs w:val="21"/>
              </w:rPr>
              <w:t>泵、电机、控制箱要有良好的红色表面涂装。</w:t>
            </w:r>
          </w:p>
          <w:p>
            <w:pPr>
              <w:numPr>
                <w:ilvl w:val="0"/>
                <w:numId w:val="61"/>
              </w:numPr>
              <w:tabs>
                <w:tab w:val="left" w:pos="420"/>
                <w:tab w:val="clear" w:pos="845"/>
              </w:tabs>
              <w:ind w:left="420"/>
              <w:rPr>
                <w:rFonts w:ascii="宋体" w:hAnsi="宋体"/>
              </w:rPr>
            </w:pPr>
            <w:r>
              <w:rPr>
                <w:rFonts w:hint="eastAsia"/>
              </w:rPr>
              <w:t>规格型号、压力等级以及连接方式应符合有关规范、标准和设计要求。</w:t>
            </w:r>
          </w:p>
          <w:p>
            <w:pPr>
              <w:numPr>
                <w:ilvl w:val="0"/>
                <w:numId w:val="61"/>
              </w:numPr>
              <w:tabs>
                <w:tab w:val="left" w:pos="420"/>
                <w:tab w:val="clear" w:pos="845"/>
              </w:tabs>
              <w:ind w:left="420"/>
              <w:rPr>
                <w:rFonts w:ascii="宋体" w:hAnsi="宋体"/>
              </w:rPr>
            </w:pPr>
            <w:r>
              <w:rPr>
                <w:rFonts w:hint="eastAsia"/>
              </w:rPr>
              <w:t>铭牌、安全操作指示标志和产品说明书齐全。</w:t>
            </w:r>
          </w:p>
          <w:p>
            <w:pPr>
              <w:rPr>
                <w:rFonts w:ascii="宋体" w:hAnsi="宋体"/>
              </w:rPr>
            </w:pPr>
          </w:p>
        </w:tc>
        <w:tc>
          <w:tcPr>
            <w:tcW w:w="1080" w:type="dxa"/>
            <w:tcBorders>
              <w:left w:val="single" w:color="auto" w:sz="4" w:space="0"/>
            </w:tcBorders>
            <w:vAlign w:val="center"/>
          </w:tcPr>
          <w:p>
            <w:pPr>
              <w:adjustRightInd w:val="0"/>
              <w:snapToGrid w:val="0"/>
              <w:rPr>
                <w:rFonts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tabs>
                <w:tab w:val="left" w:pos="360"/>
                <w:tab w:val="clear" w:pos="420"/>
              </w:tabs>
              <w:spacing w:line="240" w:lineRule="atLeast"/>
              <w:ind w:left="0" w:firstLine="0"/>
              <w:jc w:val="center"/>
              <w:rPr>
                <w:rFonts w:ascii="宋体" w:hAnsi="宋体"/>
                <w:sz w:val="24"/>
              </w:rPr>
            </w:pPr>
            <w:r>
              <w:rPr>
                <w:rFonts w:ascii="宋体" w:hAnsi="宋体"/>
                <w:sz w:val="24"/>
              </w:rPr>
              <w:t>1</w:t>
            </w:r>
          </w:p>
        </w:tc>
        <w:tc>
          <w:tcPr>
            <w:tcW w:w="900" w:type="dxa"/>
          </w:tcPr>
          <w:p>
            <w:pPr>
              <w:rPr>
                <w:rFonts w:ascii="宋体"/>
                <w:szCs w:val="21"/>
              </w:rPr>
            </w:pPr>
            <w:r>
              <w:rPr>
                <w:rFonts w:hint="eastAsia" w:ascii="宋体" w:hAnsi="宋体"/>
                <w:szCs w:val="21"/>
              </w:rPr>
              <w:t>七氟丙烷气体灭火系统</w:t>
            </w:r>
          </w:p>
          <w:p>
            <w:pPr>
              <w:spacing w:line="240" w:lineRule="atLeast"/>
              <w:rPr>
                <w:rFonts w:ascii="宋体" w:hAnsi="宋体"/>
                <w:sz w:val="24"/>
              </w:rPr>
            </w:pPr>
          </w:p>
        </w:tc>
        <w:tc>
          <w:tcPr>
            <w:tcW w:w="7200" w:type="dxa"/>
            <w:vAlign w:val="center"/>
          </w:tcPr>
          <w:p>
            <w:pPr>
              <w:rPr>
                <w:rFonts w:ascii="宋体"/>
              </w:rPr>
            </w:pPr>
            <w:r>
              <w:rPr>
                <w:rFonts w:hint="eastAsia" w:ascii="宋体" w:hAnsi="宋体"/>
              </w:rPr>
              <w:t>一、商务要求：</w:t>
            </w:r>
          </w:p>
          <w:p>
            <w:pPr>
              <w:numPr>
                <w:ilvl w:val="0"/>
                <w:numId w:val="62"/>
              </w:numPr>
              <w:rPr>
                <w:rFonts w:ascii="宋体"/>
              </w:rPr>
            </w:pPr>
            <w:r>
              <w:rPr>
                <w:rFonts w:hint="eastAsia" w:ascii="宋体" w:hAnsi="宋体"/>
              </w:rPr>
              <w:t>制造商应通过</w:t>
            </w:r>
            <w:r>
              <w:rPr>
                <w:rFonts w:ascii="宋体" w:hAnsi="宋体"/>
              </w:rPr>
              <w:t>ISO9001</w:t>
            </w:r>
            <w:r>
              <w:rPr>
                <w:rFonts w:hint="eastAsia" w:ascii="宋体" w:hAnsi="宋体"/>
              </w:rPr>
              <w:t>：</w:t>
            </w:r>
            <w:r>
              <w:rPr>
                <w:rFonts w:ascii="宋体" w:hAnsi="宋体"/>
              </w:rPr>
              <w:t>2000</w:t>
            </w:r>
            <w:r>
              <w:rPr>
                <w:rFonts w:hint="eastAsia" w:ascii="宋体" w:hAnsi="宋体"/>
              </w:rPr>
              <w:t>质量管理体系认证。</w:t>
            </w:r>
          </w:p>
          <w:p>
            <w:pPr>
              <w:numPr>
                <w:ilvl w:val="0"/>
                <w:numId w:val="62"/>
              </w:numPr>
              <w:rPr>
                <w:rFonts w:ascii="宋体"/>
              </w:rPr>
            </w:pPr>
            <w:r>
              <w:rPr>
                <w:rFonts w:hint="eastAsia" w:ascii="宋体" w:hAnsi="宋体"/>
              </w:rPr>
              <w:t>制造商注册资本不少于</w:t>
            </w:r>
            <w:r>
              <w:rPr>
                <w:rFonts w:ascii="宋体" w:hAnsi="宋体"/>
              </w:rPr>
              <w:t>3000</w:t>
            </w:r>
            <w:r>
              <w:rPr>
                <w:rFonts w:hint="eastAsia" w:ascii="宋体" w:hAnsi="宋体"/>
              </w:rPr>
              <w:t>万人民币。</w:t>
            </w:r>
          </w:p>
          <w:p>
            <w:pPr>
              <w:numPr>
                <w:ilvl w:val="0"/>
                <w:numId w:val="62"/>
              </w:numPr>
              <w:rPr>
                <w:rFonts w:ascii="宋体"/>
              </w:rPr>
            </w:pPr>
            <w:r>
              <w:rPr>
                <w:rFonts w:hint="eastAsia" w:ascii="宋体" w:hAnsi="宋体"/>
              </w:rPr>
              <w:t>制造商在营业执照经营范围中必须包括消防设备制造相关业务，并具有主管部门颁布的生产和销售许可证。</w:t>
            </w:r>
          </w:p>
          <w:p>
            <w:pPr>
              <w:numPr>
                <w:ilvl w:val="0"/>
                <w:numId w:val="62"/>
              </w:numPr>
              <w:rPr>
                <w:rFonts w:ascii="宋体"/>
              </w:rPr>
            </w:pPr>
            <w:r>
              <w:rPr>
                <w:rFonts w:hint="eastAsia" w:ascii="宋体" w:hAnsi="宋体"/>
              </w:rPr>
              <w:t>消防产品须经国家相应的消防产品质量监督检测中心检验合格，并有公安部消防产品合格评定中心颁发的产品认证证书。</w:t>
            </w:r>
          </w:p>
          <w:p>
            <w:pPr>
              <w:numPr>
                <w:ilvl w:val="0"/>
                <w:numId w:val="62"/>
              </w:numPr>
              <w:rPr>
                <w:rFonts w:ascii="宋体"/>
              </w:rPr>
            </w:pPr>
            <w:r>
              <w:rPr>
                <w:rFonts w:hint="eastAsia" w:ascii="宋体" w:hAnsi="宋体"/>
              </w:rPr>
              <w:t>制造商在深圳地区设有完善的售后服务机构。</w:t>
            </w:r>
          </w:p>
          <w:p>
            <w:pPr>
              <w:rPr>
                <w:rFonts w:ascii="宋体"/>
              </w:rPr>
            </w:pPr>
          </w:p>
          <w:p>
            <w:pPr>
              <w:spacing w:line="360" w:lineRule="auto"/>
              <w:rPr>
                <w:rFonts w:ascii="宋体"/>
              </w:rPr>
            </w:pPr>
            <w:r>
              <w:rPr>
                <w:rFonts w:hint="eastAsia" w:ascii="宋体" w:hAnsi="宋体"/>
              </w:rPr>
              <w:t>二、技术要求：</w:t>
            </w:r>
          </w:p>
          <w:p>
            <w:pPr>
              <w:numPr>
                <w:ilvl w:val="0"/>
                <w:numId w:val="63"/>
              </w:numPr>
              <w:tabs>
                <w:tab w:val="left" w:pos="360"/>
              </w:tabs>
              <w:rPr>
                <w:rFonts w:ascii="宋体"/>
              </w:rPr>
            </w:pPr>
            <w:r>
              <w:rPr>
                <w:rFonts w:hint="eastAsia" w:ascii="宋体" w:hAnsi="宋体"/>
              </w:rPr>
              <w:t>须按照设计图纸要求设置气体灭火系统。深化设计图纸须经</w:t>
            </w:r>
            <w:r>
              <w:rPr>
                <w:rFonts w:hint="eastAsia"/>
              </w:rPr>
              <w:t>设计单位</w:t>
            </w:r>
            <w:r>
              <w:rPr>
                <w:rFonts w:hint="eastAsia" w:ascii="宋体" w:hAnsi="宋体"/>
              </w:rPr>
              <w:t>和建设单位审核确认，并报市消防局审批同意。</w:t>
            </w:r>
          </w:p>
          <w:p>
            <w:pPr>
              <w:numPr>
                <w:ilvl w:val="0"/>
                <w:numId w:val="63"/>
              </w:numPr>
              <w:tabs>
                <w:tab w:val="left" w:pos="360"/>
              </w:tabs>
              <w:rPr>
                <w:rFonts w:ascii="宋体"/>
              </w:rPr>
            </w:pPr>
            <w:r>
              <w:rPr>
                <w:rFonts w:hint="eastAsia" w:ascii="宋体" w:hAnsi="宋体"/>
              </w:rPr>
              <w:t>气体灭火系统由火灾报警系统、灭火控制系统及气体灭火装置三部分组成。火灾报警系统设置感烟、感温两路报警，通过气体灭火控制器进行控制。</w:t>
            </w:r>
          </w:p>
          <w:p>
            <w:pPr>
              <w:numPr>
                <w:ilvl w:val="0"/>
                <w:numId w:val="63"/>
              </w:numPr>
              <w:tabs>
                <w:tab w:val="left" w:pos="360"/>
              </w:tabs>
              <w:rPr>
                <w:rFonts w:ascii="宋体"/>
              </w:rPr>
            </w:pPr>
            <w:r>
              <w:rPr>
                <w:rFonts w:hint="eastAsia" w:ascii="宋体" w:hAnsi="宋体"/>
              </w:rPr>
              <w:t>气体灭火装置须符合国家相关规范的要求，并须提供合格的型式检验报告。</w:t>
            </w:r>
          </w:p>
          <w:p>
            <w:pPr>
              <w:numPr>
                <w:ilvl w:val="0"/>
                <w:numId w:val="63"/>
              </w:numPr>
              <w:tabs>
                <w:tab w:val="left" w:pos="360"/>
              </w:tabs>
              <w:rPr>
                <w:rFonts w:ascii="宋体"/>
              </w:rPr>
            </w:pPr>
            <w:r>
              <w:rPr>
                <w:rFonts w:hint="eastAsia" w:ascii="宋体" w:hAnsi="宋体"/>
              </w:rPr>
              <w:t>气体灭火装置贮瓶应贮存灭火剂（由承包人负责），灭火剂充装量符合设计和有关规范要求，充装压力符合设计要求</w:t>
            </w:r>
            <w:r>
              <w:rPr>
                <w:rFonts w:hint="eastAsia"/>
              </w:rPr>
              <w:t>。</w:t>
            </w:r>
          </w:p>
          <w:p>
            <w:pPr>
              <w:pStyle w:val="21"/>
              <w:spacing w:line="240" w:lineRule="atLeast"/>
              <w:ind w:left="400" w:hanging="400" w:hangingChars="200"/>
            </w:pPr>
            <w:r>
              <w:t>5</w:t>
            </w:r>
            <w:r>
              <w:rPr>
                <w:rFonts w:hint="eastAsia"/>
              </w:rPr>
              <w:t>）</w:t>
            </w:r>
            <w:r>
              <w:t xml:space="preserve"> </w:t>
            </w:r>
            <w:r>
              <w:rPr>
                <w:rFonts w:hint="eastAsia"/>
              </w:rPr>
              <w:t>灭火剂贮瓶的外表正面应标注灭火剂的名称。贮瓶铭牌应牢固地设置在明显部位，包括：产品名称、型号规格、充装压力、灭火剂重量、使用温度范围、出厂日期等内容。</w:t>
            </w:r>
          </w:p>
          <w:p>
            <w:pPr>
              <w:rPr>
                <w:rFonts w:ascii="宋体"/>
              </w:rPr>
            </w:pPr>
            <w:r>
              <w:rPr>
                <w:rFonts w:ascii="宋体" w:hAnsi="宋体"/>
              </w:rPr>
              <w:t>6</w:t>
            </w:r>
            <w:r>
              <w:rPr>
                <w:rFonts w:hint="eastAsia" w:ascii="宋体" w:hAnsi="宋体"/>
              </w:rPr>
              <w:t>）</w:t>
            </w:r>
            <w:r>
              <w:rPr>
                <w:rFonts w:ascii="宋体" w:hAnsi="宋体"/>
              </w:rPr>
              <w:t xml:space="preserve"> </w:t>
            </w:r>
            <w:r>
              <w:rPr>
                <w:rFonts w:hint="eastAsia" w:ascii="宋体" w:hAnsi="宋体"/>
              </w:rPr>
              <w:t>灭火控制及自动报警系统选用产品的性能必须满足中华人民共和国国家标准以及广东省、深圳市消防部门的规定，并通过中华人民共和国国家消防电子产品检测中心检验。</w:t>
            </w:r>
          </w:p>
          <w:p>
            <w:pPr>
              <w:pStyle w:val="21"/>
              <w:spacing w:line="240" w:lineRule="atLeast"/>
              <w:ind w:left="300" w:hanging="300" w:hangingChars="150"/>
            </w:pPr>
            <w:r>
              <w:rPr>
                <w:rFonts w:hAnsi="宋体"/>
              </w:rPr>
              <w:t>7</w:t>
            </w:r>
            <w:r>
              <w:rPr>
                <w:rFonts w:hint="eastAsia" w:hAnsi="宋体"/>
              </w:rPr>
              <w:t>）</w:t>
            </w:r>
            <w:r>
              <w:rPr>
                <w:rFonts w:hAnsi="宋体"/>
              </w:rPr>
              <w:t xml:space="preserve"> </w:t>
            </w:r>
            <w:r>
              <w:rPr>
                <w:rFonts w:hint="eastAsia"/>
              </w:rPr>
              <w:t>具有自我检测系统，每一个储罐单元都可以监察到</w:t>
            </w:r>
            <w:r>
              <w:t>:</w:t>
            </w:r>
            <w:r>
              <w:rPr>
                <w:rFonts w:hint="eastAsia"/>
              </w:rPr>
              <w:t>压力过高、压力过低、储藏量不足、电源故障信号。</w:t>
            </w:r>
          </w:p>
          <w:p>
            <w:pPr>
              <w:ind w:left="420" w:hanging="420" w:hangingChars="200"/>
            </w:pPr>
            <w:r>
              <w:rPr>
                <w:rFonts w:ascii="宋体" w:hAnsi="宋体"/>
              </w:rPr>
              <w:t>8</w:t>
            </w:r>
            <w:r>
              <w:rPr>
                <w:rFonts w:hint="eastAsia" w:ascii="宋体" w:hAnsi="宋体"/>
              </w:rPr>
              <w:t>）</w:t>
            </w:r>
            <w:r>
              <w:rPr>
                <w:rFonts w:ascii="宋体" w:hAnsi="宋体"/>
              </w:rPr>
              <w:t xml:space="preserve"> </w:t>
            </w:r>
            <w:r>
              <w:rPr>
                <w:rFonts w:hint="eastAsia"/>
              </w:rPr>
              <w:t>系统具有各种故障报警及关闭风机、防火阀等联动功能，并将手动、自动、报警、故障、喷放等信号反馈到消防控制中心。</w:t>
            </w:r>
          </w:p>
          <w:p>
            <w:pPr>
              <w:ind w:left="420" w:hanging="420" w:hangingChars="200"/>
              <w:rPr>
                <w:rFonts w:ascii="宋体"/>
              </w:rPr>
            </w:pPr>
            <w:r>
              <w:t>9</w:t>
            </w:r>
            <w:r>
              <w:rPr>
                <w:rFonts w:hint="eastAsia"/>
              </w:rPr>
              <w:t>）气体灭火系统管材应采用内外镀锌无缝钢管。其质量应符合</w:t>
            </w:r>
            <w:r>
              <w:t>YB231-70</w:t>
            </w:r>
            <w:r>
              <w:rPr>
                <w:rFonts w:hint="eastAsia"/>
              </w:rPr>
              <w:t>《镀锌无缝钢管》的要求。</w:t>
            </w:r>
          </w:p>
          <w:p>
            <w:pPr>
              <w:rPr>
                <w:rFonts w:ascii="宋体" w:hAnsi="宋体"/>
                <w:b/>
              </w:rPr>
            </w:pPr>
          </w:p>
        </w:tc>
        <w:tc>
          <w:tcPr>
            <w:tcW w:w="1080" w:type="dxa"/>
            <w:tcBorders>
              <w:top w:val="single" w:color="auto" w:sz="4" w:space="0"/>
              <w:bottom w:val="single" w:color="auto" w:sz="4" w:space="0"/>
            </w:tcBorders>
            <w:vAlign w:val="center"/>
          </w:tcPr>
          <w:p>
            <w:pPr>
              <w:pStyle w:val="21"/>
              <w:adjustRightInd w:val="0"/>
              <w:snapToGrid w:val="0"/>
              <w:rPr>
                <w:rFonts w:hAnsi="宋体"/>
                <w:sz w:val="24"/>
                <w:szCs w:val="24"/>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Ex>
        <w:trPr>
          <w:trHeight w:val="1182" w:hRule="atLeast"/>
        </w:trPr>
        <w:tc>
          <w:tcPr>
            <w:tcW w:w="468" w:type="dxa"/>
          </w:tcPr>
          <w:p>
            <w:pPr>
              <w:numPr>
                <w:ilvl w:val="0"/>
                <w:numId w:val="49"/>
              </w:numPr>
              <w:spacing w:line="240" w:lineRule="atLeast"/>
              <w:jc w:val="center"/>
              <w:rPr>
                <w:rFonts w:ascii="宋体" w:hAnsi="宋体"/>
                <w:sz w:val="24"/>
              </w:rPr>
            </w:pPr>
          </w:p>
        </w:tc>
        <w:tc>
          <w:tcPr>
            <w:tcW w:w="900" w:type="dxa"/>
          </w:tcPr>
          <w:p>
            <w:pPr>
              <w:rPr>
                <w:rFonts w:ascii="宋体" w:hAnsi="宋体"/>
                <w:szCs w:val="21"/>
              </w:rPr>
            </w:pPr>
            <w:r>
              <w:rPr>
                <w:rFonts w:hint="eastAsia"/>
              </w:rPr>
              <w:t>磷酸铵盐干粉灭火器</w:t>
            </w:r>
          </w:p>
        </w:tc>
        <w:tc>
          <w:tcPr>
            <w:tcW w:w="7200" w:type="dxa"/>
            <w:tcBorders>
              <w:bottom w:val="single" w:color="auto" w:sz="4" w:space="0"/>
            </w:tcBorders>
            <w:vAlign w:val="center"/>
          </w:tcPr>
          <w:p>
            <w:pPr>
              <w:rPr>
                <w:rFonts w:hAnsi="宋体"/>
              </w:rPr>
            </w:pPr>
            <w:r>
              <w:rPr>
                <w:rFonts w:hint="eastAsia" w:hAnsi="宋体"/>
              </w:rPr>
              <w:t>一、商务要求：</w:t>
            </w:r>
          </w:p>
          <w:p>
            <w:pPr>
              <w:rPr>
                <w:rFonts w:hAnsi="宋体"/>
              </w:rPr>
            </w:pPr>
            <w:r>
              <w:rPr>
                <w:rFonts w:hint="eastAsia" w:hAnsi="宋体"/>
              </w:rPr>
              <w:t>1）制造商应通过ISO9001：2000质量管理体系认证。</w:t>
            </w:r>
          </w:p>
          <w:p>
            <w:pPr>
              <w:rPr>
                <w:rFonts w:hAnsi="宋体"/>
              </w:rPr>
            </w:pPr>
            <w:r>
              <w:rPr>
                <w:rFonts w:hint="eastAsia" w:hAnsi="宋体"/>
              </w:rPr>
              <w:t>2）制造商注册资本：不少于3000万人民币。</w:t>
            </w:r>
          </w:p>
          <w:p>
            <w:pPr>
              <w:rPr>
                <w:rFonts w:hAnsi="宋体"/>
              </w:rPr>
            </w:pPr>
            <w:r>
              <w:rPr>
                <w:rFonts w:hint="eastAsia" w:hAnsi="宋体"/>
              </w:rPr>
              <w:t>3）制造商在深圳地区设有完善的售后服务机构。</w:t>
            </w:r>
          </w:p>
          <w:p>
            <w:pPr>
              <w:rPr>
                <w:rFonts w:hAnsi="宋体"/>
              </w:rPr>
            </w:pPr>
          </w:p>
          <w:p>
            <w:pPr>
              <w:spacing w:line="360" w:lineRule="auto"/>
              <w:rPr>
                <w:rFonts w:hAnsi="宋体"/>
              </w:rPr>
            </w:pPr>
            <w:r>
              <w:rPr>
                <w:rFonts w:hint="eastAsia" w:hAnsi="宋体"/>
              </w:rPr>
              <w:t>二、技术要求：</w:t>
            </w:r>
          </w:p>
          <w:p>
            <w:pPr>
              <w:rPr>
                <w:rFonts w:hAnsi="宋体"/>
              </w:rPr>
            </w:pPr>
            <w:r>
              <w:rPr>
                <w:rFonts w:hint="eastAsia" w:hAnsi="宋体"/>
              </w:rPr>
              <w:t>1）产品通过国家强制性认证。</w:t>
            </w:r>
          </w:p>
          <w:p>
            <w:pPr>
              <w:rPr>
                <w:rFonts w:hAnsi="宋体"/>
              </w:rPr>
            </w:pPr>
            <w:r>
              <w:rPr>
                <w:rFonts w:hint="eastAsia" w:hAnsi="宋体"/>
              </w:rPr>
              <w:t>2）要求是优质产品，应符合有关规范、标准和设计要求。</w:t>
            </w:r>
          </w:p>
          <w:p>
            <w:pPr>
              <w:rPr>
                <w:rFonts w:hAnsi="宋体"/>
              </w:rPr>
            </w:pPr>
            <w:r>
              <w:rPr>
                <w:rFonts w:hint="eastAsia"/>
              </w:rPr>
              <w:t>3）符合GB4351-1997《手提式灭火器通用技术条件》。</w:t>
            </w:r>
          </w:p>
          <w:p>
            <w:pPr>
              <w:rPr>
                <w:rFonts w:ascii="宋体" w:hAnsi="宋体"/>
              </w:rPr>
            </w:pPr>
          </w:p>
        </w:tc>
        <w:tc>
          <w:tcPr>
            <w:tcW w:w="1080" w:type="dxa"/>
            <w:tcBorders>
              <w:top w:val="single" w:color="auto" w:sz="4" w:space="0"/>
            </w:tcBorders>
            <w:vAlign w:val="center"/>
          </w:tcPr>
          <w:p>
            <w:pPr>
              <w:pStyle w:val="21"/>
              <w:adjustRightInd w:val="0"/>
              <w:snapToGrid w:val="0"/>
              <w:rPr>
                <w:rFonts w:hAnsi="宋体"/>
                <w:sz w:val="24"/>
                <w:szCs w:val="24"/>
              </w:rPr>
            </w:pPr>
          </w:p>
        </w:tc>
      </w:tr>
    </w:tbl>
    <w:p>
      <w:pPr>
        <w:spacing w:line="300" w:lineRule="auto"/>
        <w:rPr>
          <w:rFonts w:ascii="宋体" w:hAnsi="宋体"/>
          <w:b/>
          <w:sz w:val="32"/>
          <w:szCs w:val="32"/>
        </w:rPr>
      </w:pPr>
    </w:p>
    <w:p>
      <w:pPr>
        <w:spacing w:line="300" w:lineRule="auto"/>
        <w:rPr>
          <w:rFonts w:ascii="宋体" w:hAnsi="宋体"/>
          <w:szCs w:val="21"/>
        </w:rPr>
      </w:pPr>
      <w:r>
        <w:rPr>
          <w:rFonts w:hint="eastAsia" w:ascii="宋体" w:hAnsi="宋体"/>
          <w:b/>
          <w:szCs w:val="21"/>
        </w:rPr>
        <w:t>说明：</w:t>
      </w:r>
      <w:r>
        <w:rPr>
          <w:rFonts w:hint="eastAsia" w:ascii="宋体" w:hAnsi="宋体"/>
          <w:szCs w:val="21"/>
        </w:rPr>
        <w:t>承包商选用的设备材料需进行品牌申报，并提供本标书要求的产品相关资料。</w:t>
      </w:r>
    </w:p>
    <w:p/>
    <w:p/>
    <w:p/>
    <w:p/>
    <w:p/>
    <w:p/>
    <w:p/>
    <w:p/>
    <w:p/>
    <w:p>
      <w:pPr>
        <w:spacing w:line="360" w:lineRule="auto"/>
        <w:jc w:val="center"/>
        <w:rPr>
          <w:rFonts w:hint="eastAsia" w:ascii="宋体" w:hAnsi="宋体"/>
          <w:b/>
          <w:bCs/>
          <w:sz w:val="48"/>
          <w:szCs w:val="48"/>
        </w:rPr>
      </w:pPr>
      <w:r>
        <w:rPr>
          <w:rFonts w:hint="eastAsia" w:ascii="宋体" w:hAnsi="宋体"/>
          <w:b/>
          <w:bCs/>
          <w:sz w:val="48"/>
          <w:szCs w:val="48"/>
        </w:rPr>
        <w:br w:type="page"/>
      </w:r>
    </w:p>
    <w:p>
      <w:pPr>
        <w:spacing w:line="360" w:lineRule="auto"/>
        <w:jc w:val="center"/>
        <w:rPr>
          <w:rFonts w:ascii="宋体" w:hAnsi="宋体"/>
          <w:b/>
          <w:bCs/>
          <w:sz w:val="48"/>
          <w:szCs w:val="48"/>
        </w:rPr>
      </w:pPr>
      <w:r>
        <w:rPr>
          <w:rFonts w:hint="eastAsia" w:ascii="宋体" w:hAnsi="宋体"/>
          <w:b/>
          <w:bCs/>
          <w:sz w:val="48"/>
          <w:szCs w:val="48"/>
        </w:rPr>
        <w:t>第三部分  电气工程技术要求</w:t>
      </w:r>
    </w:p>
    <w:p>
      <w:pPr>
        <w:spacing w:line="360" w:lineRule="auto"/>
        <w:rPr>
          <w:rFonts w:ascii="宋体" w:hAnsi="宋体"/>
          <w:b/>
          <w:bCs/>
          <w:sz w:val="36"/>
          <w:szCs w:val="36"/>
        </w:rPr>
      </w:pPr>
    </w:p>
    <w:p>
      <w:pPr>
        <w:spacing w:line="360" w:lineRule="auto"/>
        <w:jc w:val="center"/>
        <w:rPr>
          <w:rFonts w:ascii="黑体" w:eastAsia="黑体"/>
          <w:b/>
          <w:sz w:val="32"/>
        </w:rPr>
      </w:pPr>
      <w:r>
        <w:rPr>
          <w:rFonts w:hint="eastAsia" w:ascii="黑体" w:eastAsia="黑体"/>
          <w:b/>
          <w:sz w:val="32"/>
        </w:rPr>
        <w:t xml:space="preserve">第一章 </w:t>
      </w:r>
      <w:r>
        <w:rPr>
          <w:rFonts w:ascii="黑体" w:eastAsia="黑体"/>
          <w:b/>
          <w:sz w:val="32"/>
        </w:rPr>
        <w:t xml:space="preserve"> </w:t>
      </w:r>
      <w:r>
        <w:rPr>
          <w:rFonts w:hint="eastAsia" w:ascii="黑体" w:eastAsia="黑体"/>
          <w:b/>
          <w:sz w:val="32"/>
        </w:rPr>
        <w:t>概况</w:t>
      </w:r>
    </w:p>
    <w:p>
      <w:pPr>
        <w:spacing w:line="360" w:lineRule="auto"/>
        <w:rPr>
          <w:szCs w:val="21"/>
        </w:rPr>
      </w:pPr>
    </w:p>
    <w:p>
      <w:pPr>
        <w:pStyle w:val="3"/>
        <w:spacing w:line="360" w:lineRule="auto"/>
        <w:ind w:firstLine="3310" w:firstLineChars="1570"/>
        <w:rPr>
          <w:sz w:val="21"/>
          <w:szCs w:val="21"/>
        </w:rPr>
      </w:pPr>
      <w:r>
        <w:rPr>
          <w:rFonts w:hint="eastAsia"/>
          <w:sz w:val="21"/>
          <w:szCs w:val="21"/>
        </w:rPr>
        <w:t>第一节  工程简介</w:t>
      </w:r>
    </w:p>
    <w:p>
      <w:pPr>
        <w:spacing w:line="360" w:lineRule="auto"/>
        <w:ind w:firstLine="437"/>
        <w:rPr>
          <w:rFonts w:ascii="宋体" w:hAnsi="宋体"/>
          <w:szCs w:val="21"/>
        </w:rPr>
      </w:pPr>
      <w:r>
        <w:rPr>
          <w:rFonts w:hint="eastAsia" w:ascii="宋体" w:hAnsi="宋体"/>
          <w:szCs w:val="21"/>
        </w:rPr>
        <w:t>电气工程包括：配电箱</w:t>
      </w:r>
      <w:r>
        <w:rPr>
          <w:rFonts w:hint="eastAsia"/>
        </w:rPr>
        <w:t>系统，一般照明、防雷接地，等电位联结，弱电工程等。</w:t>
      </w:r>
    </w:p>
    <w:p>
      <w:pPr>
        <w:spacing w:line="360" w:lineRule="auto"/>
        <w:ind w:firstLine="437"/>
        <w:rPr>
          <w:rFonts w:ascii="宋体" w:hAnsi="宋体"/>
          <w:szCs w:val="21"/>
        </w:rPr>
      </w:pPr>
    </w:p>
    <w:p>
      <w:pPr>
        <w:pStyle w:val="3"/>
        <w:spacing w:line="360" w:lineRule="auto"/>
        <w:jc w:val="center"/>
        <w:rPr>
          <w:sz w:val="21"/>
          <w:szCs w:val="21"/>
        </w:rPr>
      </w:pPr>
      <w:r>
        <w:rPr>
          <w:rFonts w:hint="eastAsia"/>
          <w:sz w:val="21"/>
          <w:szCs w:val="21"/>
        </w:rPr>
        <w:t>第二节  工作范围</w:t>
      </w:r>
    </w:p>
    <w:p>
      <w:pPr>
        <w:tabs>
          <w:tab w:val="left" w:pos="900"/>
        </w:tabs>
        <w:spacing w:line="360" w:lineRule="auto"/>
        <w:ind w:firstLine="480"/>
        <w:rPr>
          <w:rFonts w:ascii="宋体" w:hAnsi="宋体"/>
          <w:bCs/>
          <w:sz w:val="24"/>
        </w:rPr>
      </w:pPr>
      <w:r>
        <w:rPr>
          <w:rFonts w:hint="eastAsia"/>
        </w:rPr>
        <w:t>承包人工作范围包括但不限于：</w:t>
      </w:r>
    </w:p>
    <w:p>
      <w:pPr>
        <w:spacing w:line="360" w:lineRule="auto"/>
        <w:ind w:firstLine="435"/>
      </w:pPr>
      <w:r>
        <w:rPr>
          <w:rFonts w:hint="eastAsia"/>
        </w:rPr>
        <w:t>1、动力配电箱、控制箱安装及动力线路敷设 (含桥架、线槽安装)；</w:t>
      </w:r>
    </w:p>
    <w:p>
      <w:pPr>
        <w:spacing w:line="360" w:lineRule="auto"/>
        <w:ind w:firstLine="435"/>
      </w:pPr>
      <w:r>
        <w:rPr>
          <w:rFonts w:hint="eastAsia"/>
        </w:rPr>
        <w:t>2、照明箱的安装、照明和应急照明线路敷设 (含桥架、线槽安装)；</w:t>
      </w:r>
    </w:p>
    <w:p>
      <w:pPr>
        <w:spacing w:line="360" w:lineRule="auto"/>
        <w:ind w:firstLine="435"/>
      </w:pPr>
      <w:r>
        <w:rPr>
          <w:rFonts w:hint="eastAsia"/>
        </w:rPr>
        <w:t>3、灯具、开关、插座的更换及安装。</w:t>
      </w:r>
    </w:p>
    <w:p>
      <w:pPr>
        <w:spacing w:line="360" w:lineRule="auto"/>
      </w:pPr>
      <w:r>
        <w:rPr>
          <w:rFonts w:hint="eastAsia"/>
        </w:rPr>
        <w:t xml:space="preserve">    4、强弱电工程的桥架、金属线槽、线管、底盒的供货及安装；</w:t>
      </w:r>
    </w:p>
    <w:p>
      <w:pPr>
        <w:spacing w:line="360" w:lineRule="auto"/>
        <w:ind w:firstLine="435"/>
        <w:rPr>
          <w:rFonts w:ascii="宋体" w:hAnsi="宋体"/>
        </w:rPr>
      </w:pPr>
      <w:r>
        <w:rPr>
          <w:rFonts w:hint="eastAsia"/>
        </w:rPr>
        <w:t>5、</w:t>
      </w:r>
      <w:r>
        <w:rPr>
          <w:rFonts w:hint="eastAsia" w:ascii="宋体" w:hAnsi="宋体"/>
        </w:rPr>
        <w:t>室外景观照明系统工程；</w:t>
      </w:r>
    </w:p>
    <w:p>
      <w:pPr>
        <w:spacing w:line="360" w:lineRule="auto"/>
        <w:ind w:firstLine="435"/>
      </w:pPr>
      <w:r>
        <w:rPr>
          <w:rFonts w:hint="eastAsia"/>
        </w:rPr>
        <w:t>6、所有图示的弱电工程（含深化设计、设备材料采购、安装、调试、验收等）；</w:t>
      </w:r>
    </w:p>
    <w:p>
      <w:pPr>
        <w:spacing w:line="360" w:lineRule="auto"/>
        <w:ind w:firstLine="435"/>
      </w:pPr>
      <w:r>
        <w:rPr>
          <w:rFonts w:hint="eastAsia"/>
        </w:rPr>
        <w:t>7、所有电缆的支架、保护套管以及电缆护管在电缆敷设完毕后的防水密封及防火处理。</w:t>
      </w:r>
    </w:p>
    <w:p>
      <w:pPr>
        <w:pStyle w:val="3"/>
        <w:spacing w:line="360" w:lineRule="auto"/>
        <w:jc w:val="center"/>
        <w:rPr>
          <w:sz w:val="21"/>
          <w:szCs w:val="21"/>
        </w:rPr>
      </w:pPr>
      <w:r>
        <w:rPr>
          <w:rFonts w:hint="eastAsia"/>
          <w:sz w:val="21"/>
          <w:szCs w:val="21"/>
        </w:rPr>
        <w:t>第三节  法律、法规</w:t>
      </w:r>
    </w:p>
    <w:p>
      <w:pPr>
        <w:spacing w:line="360" w:lineRule="auto"/>
        <w:ind w:firstLine="437"/>
        <w:rPr>
          <w:rFonts w:ascii="宋体" w:hAnsi="宋体"/>
          <w:szCs w:val="21"/>
        </w:rPr>
      </w:pPr>
      <w:r>
        <w:rPr>
          <w:rFonts w:hint="eastAsia" w:ascii="宋体" w:hAnsi="宋体"/>
          <w:szCs w:val="21"/>
        </w:rPr>
        <w:t>承包人负责提供的所有设备、材料、施工工艺和施工要求必须符合本文的技术要求和本设计图纸的要求外，还必须符合现行有关规范、标准、图集和相关主管部门的审核意见。</w:t>
      </w:r>
    </w:p>
    <w:p>
      <w:pPr>
        <w:pStyle w:val="2"/>
        <w:numPr>
          <w:ilvl w:val="0"/>
          <w:numId w:val="0"/>
        </w:numPr>
        <w:jc w:val="both"/>
        <w:rPr>
          <w:rFonts w:ascii="宋体" w:hAnsi="宋体"/>
          <w:b w:val="0"/>
          <w:sz w:val="21"/>
          <w:szCs w:val="21"/>
        </w:rPr>
      </w:pPr>
    </w:p>
    <w:p>
      <w:pPr>
        <w:spacing w:line="360" w:lineRule="auto"/>
        <w:jc w:val="center"/>
        <w:rPr>
          <w:rFonts w:hint="eastAsia" w:ascii="黑体" w:eastAsia="黑体"/>
          <w:b/>
          <w:sz w:val="32"/>
        </w:rPr>
      </w:pPr>
      <w:r>
        <w:rPr>
          <w:rFonts w:hint="eastAsia" w:ascii="黑体" w:eastAsia="黑体"/>
          <w:b/>
          <w:sz w:val="32"/>
        </w:rPr>
        <w:br w:type="page"/>
      </w:r>
    </w:p>
    <w:p>
      <w:pPr>
        <w:spacing w:line="360" w:lineRule="auto"/>
        <w:jc w:val="center"/>
        <w:rPr>
          <w:rFonts w:ascii="黑体" w:eastAsia="黑体"/>
          <w:b/>
          <w:sz w:val="32"/>
        </w:rPr>
      </w:pPr>
      <w:r>
        <w:rPr>
          <w:rFonts w:hint="eastAsia" w:ascii="黑体" w:eastAsia="黑体"/>
          <w:b/>
          <w:sz w:val="32"/>
        </w:rPr>
        <w:t>第二章 通用要求</w:t>
      </w:r>
    </w:p>
    <w:p>
      <w:pPr>
        <w:spacing w:line="360" w:lineRule="auto"/>
        <w:rPr>
          <w:szCs w:val="21"/>
        </w:rPr>
      </w:pPr>
    </w:p>
    <w:p>
      <w:pPr>
        <w:pStyle w:val="2"/>
        <w:numPr>
          <w:ilvl w:val="0"/>
          <w:numId w:val="0"/>
        </w:numPr>
        <w:rPr>
          <w:b w:val="0"/>
          <w:sz w:val="21"/>
          <w:szCs w:val="21"/>
        </w:rPr>
      </w:pPr>
      <w:r>
        <w:rPr>
          <w:rFonts w:hint="eastAsia"/>
          <w:b w:val="0"/>
          <w:sz w:val="21"/>
          <w:szCs w:val="21"/>
        </w:rPr>
        <w:t>第一节  施工过程的协调与配合</w:t>
      </w:r>
    </w:p>
    <w:p>
      <w:pPr>
        <w:spacing w:line="360" w:lineRule="auto"/>
        <w:rPr>
          <w:szCs w:val="21"/>
        </w:rPr>
      </w:pPr>
    </w:p>
    <w:p>
      <w:pPr>
        <w:spacing w:line="360" w:lineRule="auto"/>
        <w:ind w:firstLine="437"/>
        <w:rPr>
          <w:rFonts w:ascii="宋体" w:hAnsi="宋体"/>
          <w:szCs w:val="21"/>
        </w:rPr>
      </w:pPr>
      <w:r>
        <w:rPr>
          <w:rFonts w:hint="eastAsia" w:ascii="宋体" w:hAnsi="宋体"/>
          <w:szCs w:val="21"/>
        </w:rPr>
        <w:t>与其它专业承包人的协调及交接工作</w:t>
      </w:r>
    </w:p>
    <w:p>
      <w:pPr>
        <w:spacing w:line="360" w:lineRule="auto"/>
        <w:ind w:firstLine="437"/>
        <w:rPr>
          <w:rFonts w:ascii="宋体" w:hAnsi="宋体"/>
          <w:szCs w:val="21"/>
        </w:rPr>
      </w:pPr>
      <w:r>
        <w:rPr>
          <w:rFonts w:hint="eastAsia" w:ascii="宋体" w:hAnsi="宋体"/>
          <w:szCs w:val="21"/>
        </w:rPr>
        <w:t>本项目承包人必须与本项目其它专业承包人协调和合作，提供所需要的有关资料、设备和人员，确保在施工界面与其它专业承包人能满意配合，顺利交接。</w:t>
      </w:r>
    </w:p>
    <w:p>
      <w:pPr>
        <w:spacing w:line="360" w:lineRule="auto"/>
        <w:ind w:firstLine="437"/>
        <w:rPr>
          <w:rFonts w:ascii="宋体" w:hAnsi="宋体"/>
          <w:szCs w:val="21"/>
        </w:rPr>
      </w:pPr>
      <w:r>
        <w:rPr>
          <w:rFonts w:hint="eastAsia" w:ascii="宋体" w:hAnsi="宋体"/>
          <w:szCs w:val="21"/>
        </w:rPr>
        <w:t>1、与发包人自行采购设备供应单位的协调工作</w:t>
      </w:r>
    </w:p>
    <w:p>
      <w:pPr>
        <w:spacing w:line="360" w:lineRule="auto"/>
        <w:ind w:firstLine="437"/>
        <w:rPr>
          <w:rFonts w:ascii="宋体" w:hAnsi="宋体"/>
          <w:szCs w:val="21"/>
        </w:rPr>
      </w:pPr>
      <w:r>
        <w:rPr>
          <w:rFonts w:hint="eastAsia" w:ascii="宋体" w:hAnsi="宋体"/>
          <w:szCs w:val="21"/>
        </w:rPr>
        <w:t xml:space="preserve">  (1)承包人须与发包人自行采购设备的供应商协调，明确双方的交接工作及详细的工作面。</w:t>
      </w:r>
    </w:p>
    <w:p>
      <w:pPr>
        <w:spacing w:line="360" w:lineRule="auto"/>
        <w:ind w:firstLine="437"/>
        <w:rPr>
          <w:rFonts w:ascii="宋体" w:hAnsi="宋体"/>
          <w:szCs w:val="21"/>
        </w:rPr>
      </w:pPr>
      <w:r>
        <w:rPr>
          <w:rFonts w:hint="eastAsia" w:ascii="宋体" w:hAnsi="宋体"/>
          <w:szCs w:val="21"/>
        </w:rPr>
        <w:t xml:space="preserve">  (2)承包人负责发包人自行采购的设备在施工现场范围内的保管工作。</w:t>
      </w:r>
    </w:p>
    <w:p>
      <w:pPr>
        <w:spacing w:line="360" w:lineRule="auto"/>
        <w:ind w:firstLine="437"/>
        <w:rPr>
          <w:rFonts w:ascii="宋体" w:hAnsi="宋体"/>
          <w:szCs w:val="21"/>
        </w:rPr>
      </w:pPr>
      <w:r>
        <w:rPr>
          <w:rFonts w:hint="eastAsia" w:ascii="宋体" w:hAnsi="宋体"/>
          <w:szCs w:val="21"/>
        </w:rPr>
        <w:t xml:space="preserve">  (3)承包人须在发包人自行采购设备供应商的指导下，进行设备安装，试运行、调试等相关工作。</w:t>
      </w:r>
    </w:p>
    <w:p>
      <w:pPr>
        <w:spacing w:line="360" w:lineRule="auto"/>
        <w:ind w:firstLine="420" w:firstLineChars="200"/>
        <w:rPr>
          <w:rFonts w:ascii="宋体" w:hAnsi="宋体"/>
          <w:szCs w:val="21"/>
        </w:rPr>
      </w:pPr>
    </w:p>
    <w:p>
      <w:pPr>
        <w:pStyle w:val="2"/>
        <w:numPr>
          <w:ilvl w:val="0"/>
          <w:numId w:val="0"/>
        </w:numPr>
        <w:rPr>
          <w:b w:val="0"/>
          <w:sz w:val="21"/>
          <w:szCs w:val="21"/>
        </w:rPr>
      </w:pPr>
      <w:r>
        <w:rPr>
          <w:rFonts w:hint="eastAsia"/>
          <w:b w:val="0"/>
          <w:sz w:val="21"/>
          <w:szCs w:val="21"/>
        </w:rPr>
        <w:t>第二节  设备及材料说明</w:t>
      </w:r>
    </w:p>
    <w:p>
      <w:pPr>
        <w:spacing w:line="360" w:lineRule="auto"/>
        <w:ind w:firstLine="437"/>
        <w:rPr>
          <w:rFonts w:ascii="宋体" w:hAnsi="宋体"/>
          <w:szCs w:val="21"/>
        </w:rPr>
      </w:pPr>
      <w:r>
        <w:rPr>
          <w:rFonts w:hint="eastAsia" w:ascii="宋体" w:hAnsi="宋体"/>
          <w:szCs w:val="21"/>
        </w:rPr>
        <w:t>一、承包人在本项目中所提供的所有材料和设备，必须符合设计要求，详见《电气工程材料、设备技术要求表》。承包人须提交有关制造商的资质证明文件；材料、构件、设备的合格证、检验报告和样品。法定检验机构检测的有效检验报告以及工业生产许可证、3C认证证书。应急灯具需有消防局签发的生产许可证，外省市产品需有本省、市消防局签发的进境许可证和国家消防电子产品质量监督检验中心做出的“检验报告”。</w:t>
      </w:r>
    </w:p>
    <w:p>
      <w:pPr>
        <w:spacing w:line="360" w:lineRule="auto"/>
        <w:ind w:firstLine="437"/>
        <w:rPr>
          <w:rFonts w:ascii="宋体" w:hAnsi="宋体"/>
          <w:szCs w:val="21"/>
        </w:rPr>
      </w:pPr>
      <w:r>
        <w:rPr>
          <w:rFonts w:hint="eastAsia" w:ascii="宋体" w:hAnsi="宋体"/>
          <w:szCs w:val="21"/>
        </w:rPr>
        <w:t>主要设备需附相关证明材料，动力配电箱（柜）、照明配电箱（盘）和控制柜（屏、台）及各类箱屏，必须采用国家权威部门认可的定点生产的产品，外省市进境，必须附有两部局认可的定点厂的证书复印件。进口的电气产品，必须经国家商检局检定合格。</w:t>
      </w:r>
    </w:p>
    <w:p>
      <w:pPr>
        <w:spacing w:line="360" w:lineRule="auto"/>
        <w:ind w:firstLine="437"/>
        <w:rPr>
          <w:rFonts w:ascii="宋体" w:hAnsi="宋体"/>
          <w:szCs w:val="21"/>
        </w:rPr>
      </w:pPr>
      <w:r>
        <w:rPr>
          <w:rFonts w:hint="eastAsia" w:ascii="宋体" w:hAnsi="宋体"/>
          <w:szCs w:val="21"/>
        </w:rPr>
        <w:t>电气安装工程施工中所使用的新技术，新材料，新产品，新工艺，必须先经试验（试点）和国家规定组织鉴定，有相应的规程和标准，未经试验或未达到技术指标要求的不得在工程是使用。</w:t>
      </w:r>
    </w:p>
    <w:p>
      <w:pPr>
        <w:spacing w:line="360" w:lineRule="auto"/>
        <w:ind w:firstLine="437"/>
        <w:rPr>
          <w:rFonts w:ascii="宋体" w:hAnsi="宋体"/>
          <w:szCs w:val="21"/>
        </w:rPr>
      </w:pPr>
      <w:r>
        <w:rPr>
          <w:rFonts w:hint="eastAsia" w:ascii="宋体" w:hAnsi="宋体"/>
          <w:szCs w:val="21"/>
        </w:rPr>
        <w:t>二、适用的规范、标准和当地条例</w:t>
      </w:r>
    </w:p>
    <w:p>
      <w:pPr>
        <w:spacing w:line="360" w:lineRule="auto"/>
        <w:ind w:firstLine="437"/>
        <w:rPr>
          <w:rFonts w:ascii="宋体" w:hAnsi="宋体"/>
          <w:szCs w:val="21"/>
        </w:rPr>
      </w:pPr>
      <w:r>
        <w:rPr>
          <w:rFonts w:hint="eastAsia" w:ascii="宋体" w:hAnsi="宋体"/>
          <w:szCs w:val="21"/>
        </w:rPr>
        <w:t>1、若技术规格说明书内对某些要求未有列明标准，则有关的细节、材料、设备和工艺要求应遵照相关的国内或行业标准，取较高者为依据。</w:t>
      </w:r>
    </w:p>
    <w:p>
      <w:pPr>
        <w:spacing w:line="360" w:lineRule="auto"/>
        <w:ind w:firstLine="437"/>
        <w:rPr>
          <w:rFonts w:ascii="宋体" w:hAnsi="宋体"/>
          <w:szCs w:val="21"/>
        </w:rPr>
      </w:pPr>
      <w:r>
        <w:rPr>
          <w:rFonts w:hint="eastAsia" w:ascii="宋体" w:hAnsi="宋体"/>
          <w:szCs w:val="21"/>
        </w:rPr>
        <w:t>2、若上述各技术要求之间发生矛盾，则应按下列顺序优选选择。</w:t>
      </w:r>
    </w:p>
    <w:p>
      <w:pPr>
        <w:spacing w:line="360" w:lineRule="auto"/>
        <w:ind w:firstLine="437"/>
        <w:rPr>
          <w:rFonts w:ascii="宋体" w:hAnsi="宋体"/>
          <w:szCs w:val="21"/>
        </w:rPr>
      </w:pPr>
      <w:r>
        <w:rPr>
          <w:rFonts w:hint="eastAsia" w:ascii="宋体" w:hAnsi="宋体"/>
          <w:szCs w:val="21"/>
        </w:rPr>
        <w:t>⑴ 当地政府的条例、规定和规范</w:t>
      </w:r>
    </w:p>
    <w:p>
      <w:pPr>
        <w:spacing w:line="360" w:lineRule="auto"/>
        <w:ind w:firstLine="437"/>
        <w:rPr>
          <w:rFonts w:ascii="宋体" w:hAnsi="宋体"/>
          <w:szCs w:val="21"/>
        </w:rPr>
      </w:pPr>
      <w:r>
        <w:rPr>
          <w:rFonts w:hint="eastAsia" w:ascii="宋体" w:hAnsi="宋体"/>
          <w:szCs w:val="21"/>
        </w:rPr>
        <w:t>⑵ 本技术说明书和图纸</w:t>
      </w:r>
    </w:p>
    <w:p>
      <w:pPr>
        <w:spacing w:line="360" w:lineRule="auto"/>
        <w:ind w:firstLine="437"/>
        <w:rPr>
          <w:rFonts w:ascii="宋体" w:hAnsi="宋体"/>
          <w:szCs w:val="21"/>
        </w:rPr>
      </w:pPr>
      <w:r>
        <w:rPr>
          <w:rFonts w:hint="eastAsia" w:ascii="宋体" w:hAnsi="宋体"/>
          <w:szCs w:val="21"/>
        </w:rPr>
        <w:t>⑶ 其它认可的标准</w:t>
      </w:r>
    </w:p>
    <w:p>
      <w:pPr>
        <w:spacing w:line="360" w:lineRule="auto"/>
        <w:ind w:firstLine="437"/>
        <w:rPr>
          <w:rFonts w:ascii="宋体" w:hAnsi="宋体"/>
          <w:szCs w:val="21"/>
        </w:rPr>
      </w:pPr>
      <w:r>
        <w:rPr>
          <w:rFonts w:hint="eastAsia" w:ascii="宋体" w:hAnsi="宋体"/>
          <w:szCs w:val="21"/>
        </w:rPr>
        <w:t>三、保证</w:t>
      </w:r>
    </w:p>
    <w:p>
      <w:pPr>
        <w:spacing w:line="360" w:lineRule="auto"/>
        <w:ind w:firstLine="437"/>
        <w:rPr>
          <w:rFonts w:ascii="宋体" w:hAnsi="宋体"/>
          <w:szCs w:val="21"/>
        </w:rPr>
      </w:pPr>
      <w:r>
        <w:rPr>
          <w:rFonts w:hint="eastAsia" w:ascii="宋体" w:hAnsi="宋体"/>
          <w:szCs w:val="21"/>
        </w:rPr>
        <w:t>1、承包人需保证各系统的安装及运行，均达到设计要求及用户需求。电气设备调试的试验记录应符合国家规定的项目和内容。</w:t>
      </w:r>
    </w:p>
    <w:p>
      <w:pPr>
        <w:spacing w:line="360" w:lineRule="auto"/>
        <w:ind w:firstLine="437"/>
        <w:rPr>
          <w:rFonts w:ascii="宋体" w:hAnsi="宋体"/>
          <w:szCs w:val="21"/>
        </w:rPr>
      </w:pPr>
      <w:r>
        <w:rPr>
          <w:rFonts w:hint="eastAsia" w:ascii="宋体" w:hAnsi="宋体"/>
          <w:szCs w:val="21"/>
        </w:rPr>
        <w:t>2、承包人必须保证所提供的设备或配件均能按设计要求在任何工作环境正常操作</w:t>
      </w:r>
    </w:p>
    <w:p>
      <w:pPr>
        <w:spacing w:line="360" w:lineRule="auto"/>
        <w:ind w:firstLine="437"/>
        <w:rPr>
          <w:rFonts w:ascii="宋体" w:hAnsi="宋体"/>
          <w:szCs w:val="21"/>
        </w:rPr>
      </w:pPr>
      <w:r>
        <w:rPr>
          <w:rFonts w:hint="eastAsia" w:ascii="宋体" w:hAnsi="宋体"/>
          <w:szCs w:val="21"/>
        </w:rPr>
        <w:t>3、保证期是指自合同生效直至竣工证书发出日起计两年为止。</w:t>
      </w:r>
    </w:p>
    <w:p>
      <w:pPr>
        <w:spacing w:line="360" w:lineRule="auto"/>
        <w:ind w:firstLine="437"/>
        <w:rPr>
          <w:rFonts w:ascii="宋体" w:hAnsi="宋体"/>
          <w:szCs w:val="21"/>
        </w:rPr>
      </w:pPr>
      <w:r>
        <w:rPr>
          <w:rFonts w:hint="eastAsia" w:ascii="宋体" w:hAnsi="宋体"/>
          <w:szCs w:val="21"/>
        </w:rPr>
        <w:t>4、承包人如认为本技术规程说明书或图纸中的要求或说明与承包人所负的责任不适用时，必须在投标时提出。</w:t>
      </w:r>
    </w:p>
    <w:p>
      <w:pPr>
        <w:spacing w:line="360" w:lineRule="auto"/>
        <w:ind w:firstLine="437"/>
        <w:rPr>
          <w:rFonts w:ascii="宋体" w:hAnsi="宋体"/>
          <w:szCs w:val="21"/>
        </w:rPr>
      </w:pPr>
      <w:r>
        <w:rPr>
          <w:rFonts w:hint="eastAsia" w:ascii="宋体" w:hAnsi="宋体"/>
          <w:szCs w:val="21"/>
        </w:rPr>
        <w:t>5、任何制造商的产品保证在工程完工后仍然有效，该保证的权属应自动转归发包人所有，其后有关制造商保证中的权利和责任也转为发包人所有。</w:t>
      </w:r>
    </w:p>
    <w:p>
      <w:pPr>
        <w:spacing w:line="360" w:lineRule="auto"/>
        <w:ind w:firstLine="437"/>
        <w:rPr>
          <w:rFonts w:ascii="宋体" w:hAnsi="宋体"/>
          <w:szCs w:val="21"/>
        </w:rPr>
      </w:pPr>
      <w:r>
        <w:rPr>
          <w:rFonts w:hint="eastAsia" w:ascii="宋体" w:hAnsi="宋体"/>
          <w:szCs w:val="21"/>
        </w:rPr>
        <w:t>6、若在保证期满后，发现系统上潜在的缺陷，经技术专家鉴定是由于承包人的工料和施工方法不符合本技术规格说明书和图纸要求引起，承包人须负全责免费更换或整改，而不得推诿。</w:t>
      </w:r>
    </w:p>
    <w:p>
      <w:pPr>
        <w:spacing w:line="360" w:lineRule="auto"/>
        <w:ind w:firstLine="437"/>
        <w:rPr>
          <w:rFonts w:ascii="宋体" w:hAnsi="宋体"/>
          <w:szCs w:val="21"/>
        </w:rPr>
      </w:pPr>
      <w:r>
        <w:rPr>
          <w:rFonts w:hint="eastAsia" w:ascii="宋体" w:hAnsi="宋体"/>
          <w:szCs w:val="21"/>
        </w:rPr>
        <w:t>四、设备的更改</w:t>
      </w:r>
    </w:p>
    <w:p>
      <w:pPr>
        <w:spacing w:line="360" w:lineRule="auto"/>
        <w:ind w:firstLine="437"/>
        <w:rPr>
          <w:rFonts w:ascii="宋体" w:hAnsi="宋体"/>
          <w:szCs w:val="21"/>
        </w:rPr>
      </w:pPr>
      <w:r>
        <w:rPr>
          <w:rFonts w:hint="eastAsia" w:ascii="宋体" w:hAnsi="宋体"/>
          <w:szCs w:val="21"/>
        </w:rPr>
        <w:t>1、在合同生效后，在特殊情况下，承包人需要更改某些设备或材料须以书面提交合理的解释及证明文件，并提出建议；重新选定设备或材料制造商，必须在本议标书的可接受的生产商范围内挑选并同时经发包人书面批准方可使用。同时更改后的材料和设备必须达到本技术规格说明书的要求。此外，如有额外费用及合同责任应由承包人负责。</w:t>
      </w:r>
    </w:p>
    <w:p>
      <w:pPr>
        <w:spacing w:line="360" w:lineRule="auto"/>
        <w:ind w:firstLine="437"/>
        <w:rPr>
          <w:rFonts w:ascii="宋体" w:hAnsi="宋体"/>
          <w:szCs w:val="21"/>
        </w:rPr>
      </w:pPr>
      <w:r>
        <w:rPr>
          <w:rFonts w:hint="eastAsia" w:ascii="宋体" w:hAnsi="宋体"/>
          <w:szCs w:val="21"/>
        </w:rPr>
        <w:t>2、承包人更改材料和设备而延误的工期，由承包人全部负责。</w:t>
      </w:r>
    </w:p>
    <w:p>
      <w:pPr>
        <w:spacing w:line="360" w:lineRule="auto"/>
        <w:ind w:firstLine="437"/>
        <w:rPr>
          <w:rFonts w:ascii="宋体" w:hAnsi="宋体"/>
          <w:szCs w:val="21"/>
        </w:rPr>
      </w:pPr>
      <w:r>
        <w:rPr>
          <w:rFonts w:hint="eastAsia" w:ascii="宋体" w:hAnsi="宋体"/>
          <w:szCs w:val="21"/>
        </w:rPr>
        <w:t>3、因更改材料和设备导致有关建筑和结构的改动，对承包人及其它承包人所产生的影响及由此而引起的额外费用由承包人负责。</w:t>
      </w:r>
    </w:p>
    <w:p>
      <w:pPr>
        <w:spacing w:line="360" w:lineRule="auto"/>
        <w:ind w:firstLine="437"/>
        <w:rPr>
          <w:rFonts w:ascii="宋体" w:hAnsi="宋体"/>
          <w:szCs w:val="21"/>
        </w:rPr>
      </w:pPr>
      <w:r>
        <w:rPr>
          <w:rFonts w:hint="eastAsia" w:ascii="宋体" w:hAnsi="宋体"/>
          <w:szCs w:val="21"/>
        </w:rPr>
        <w:t>4、因更改材料和设备而引致和相关的管道、电缆、导管和设备的数量及排列的变化，承包人需提供因变化所需的材料和附件并承担所有增加的费用。</w:t>
      </w:r>
    </w:p>
    <w:p>
      <w:pPr>
        <w:spacing w:line="360" w:lineRule="auto"/>
        <w:ind w:firstLine="437"/>
        <w:rPr>
          <w:rFonts w:ascii="宋体" w:hAnsi="宋体"/>
          <w:szCs w:val="21"/>
        </w:rPr>
      </w:pPr>
      <w:r>
        <w:rPr>
          <w:rFonts w:hint="eastAsia" w:ascii="宋体" w:hAnsi="宋体"/>
          <w:szCs w:val="21"/>
        </w:rPr>
        <w:t>五、不符合要求的材料、设备严禁入场</w:t>
      </w:r>
    </w:p>
    <w:p>
      <w:pPr>
        <w:spacing w:line="360" w:lineRule="auto"/>
        <w:ind w:firstLine="437"/>
        <w:rPr>
          <w:rFonts w:ascii="宋体" w:hAnsi="宋体"/>
          <w:szCs w:val="21"/>
        </w:rPr>
      </w:pPr>
      <w:r>
        <w:rPr>
          <w:rFonts w:hint="eastAsia" w:ascii="宋体" w:hAnsi="宋体"/>
          <w:szCs w:val="21"/>
        </w:rPr>
        <w:t xml:space="preserve">发包人有权拒绝不符合招标文件和规范要求的材料、设备进入施工现场；若发现承包人使用，有权命令拆除和更换，由此引致工期延误和费用由承包人负责。材料根据《建筑电气工程施工质量验收规范》规定进行有见证送检，送检费用（不含甲供电缆）由承包人负责。   </w:t>
      </w:r>
    </w:p>
    <w:p>
      <w:pPr>
        <w:spacing w:line="360" w:lineRule="auto"/>
        <w:ind w:firstLine="437"/>
        <w:rPr>
          <w:rFonts w:ascii="宋体" w:hAnsi="宋体"/>
          <w:szCs w:val="21"/>
        </w:rPr>
      </w:pPr>
      <w:r>
        <w:rPr>
          <w:rFonts w:hint="eastAsia" w:ascii="宋体" w:hAnsi="宋体"/>
          <w:szCs w:val="21"/>
        </w:rPr>
        <w:t>六、工件的包装和保护</w:t>
      </w:r>
    </w:p>
    <w:p>
      <w:pPr>
        <w:spacing w:line="360" w:lineRule="auto"/>
        <w:ind w:firstLine="437"/>
        <w:rPr>
          <w:rFonts w:ascii="宋体" w:hAnsi="宋体"/>
          <w:szCs w:val="21"/>
        </w:rPr>
      </w:pPr>
      <w:r>
        <w:rPr>
          <w:rFonts w:hint="eastAsia" w:ascii="宋体" w:hAnsi="宋体"/>
          <w:szCs w:val="21"/>
        </w:rPr>
        <w:t>1、所有运送到工地的设备和材料均应保持全新状态，并应有适当的包装和次保护。</w:t>
      </w:r>
    </w:p>
    <w:p>
      <w:pPr>
        <w:spacing w:line="360" w:lineRule="auto"/>
        <w:ind w:firstLine="437"/>
        <w:rPr>
          <w:rFonts w:ascii="宋体" w:hAnsi="宋体"/>
          <w:szCs w:val="21"/>
        </w:rPr>
      </w:pPr>
      <w:r>
        <w:rPr>
          <w:rFonts w:hint="eastAsia" w:ascii="宋体" w:hAnsi="宋体"/>
          <w:szCs w:val="21"/>
        </w:rPr>
        <w:t>2、所有运送过程中或在工地上受损的设备和材料，不得使用，承包人必须无偿更换，因此而引起的工期延误承包人负责。</w:t>
      </w:r>
    </w:p>
    <w:p>
      <w:pPr>
        <w:spacing w:line="360" w:lineRule="auto"/>
        <w:ind w:firstLine="437"/>
        <w:rPr>
          <w:rFonts w:ascii="宋体" w:hAnsi="宋体"/>
          <w:szCs w:val="21"/>
        </w:rPr>
      </w:pPr>
      <w:r>
        <w:rPr>
          <w:rFonts w:hint="eastAsia" w:ascii="宋体" w:hAnsi="宋体"/>
          <w:szCs w:val="21"/>
        </w:rPr>
        <w:t>3、承包人对大型设备的进场必须事先有详细的计划和安排，并提出切实可行的运送方案，工地一般不可能提供临时贮存场地。</w:t>
      </w:r>
    </w:p>
    <w:p>
      <w:pPr>
        <w:spacing w:line="360" w:lineRule="auto"/>
        <w:ind w:firstLine="437"/>
        <w:rPr>
          <w:rFonts w:ascii="宋体" w:hAnsi="宋体"/>
          <w:szCs w:val="21"/>
        </w:rPr>
      </w:pPr>
      <w:r>
        <w:rPr>
          <w:rFonts w:hint="eastAsia" w:ascii="宋体" w:hAnsi="宋体"/>
          <w:szCs w:val="21"/>
        </w:rPr>
        <w:t>七、对机件和设备的责任和拥有权。</w:t>
      </w:r>
    </w:p>
    <w:p>
      <w:pPr>
        <w:spacing w:line="360" w:lineRule="auto"/>
        <w:ind w:firstLine="437"/>
        <w:rPr>
          <w:rFonts w:ascii="宋体" w:hAnsi="宋体"/>
          <w:szCs w:val="21"/>
        </w:rPr>
      </w:pPr>
      <w:r>
        <w:rPr>
          <w:rFonts w:hint="eastAsia" w:ascii="宋体" w:hAnsi="宋体"/>
          <w:szCs w:val="21"/>
        </w:rPr>
        <w:t>1、在工程施工期间，承包人必须对所有材料、设备、机件的破损和遗失负责。</w:t>
      </w:r>
    </w:p>
    <w:p>
      <w:pPr>
        <w:spacing w:line="360" w:lineRule="auto"/>
        <w:ind w:firstLine="437"/>
        <w:rPr>
          <w:rFonts w:ascii="宋体" w:hAnsi="宋体"/>
          <w:szCs w:val="21"/>
        </w:rPr>
      </w:pPr>
      <w:r>
        <w:rPr>
          <w:rFonts w:hint="eastAsia" w:ascii="宋体" w:hAnsi="宋体"/>
          <w:szCs w:val="21"/>
        </w:rPr>
        <w:t>2、在本合同范围内所提供的一切材料、设备、机件一经送达工地，其拥有权归发包人所有。没有发包人的批准不得移离工地。</w:t>
      </w:r>
    </w:p>
    <w:p>
      <w:pPr>
        <w:spacing w:line="360" w:lineRule="auto"/>
        <w:ind w:firstLine="437"/>
        <w:rPr>
          <w:rFonts w:ascii="宋体" w:hAnsi="宋体"/>
          <w:szCs w:val="21"/>
        </w:rPr>
      </w:pPr>
      <w:r>
        <w:rPr>
          <w:rFonts w:hint="eastAsia" w:ascii="宋体" w:hAnsi="宋体"/>
          <w:szCs w:val="21"/>
        </w:rPr>
        <w:t>八、装置的大小及设备交送通道</w:t>
      </w:r>
    </w:p>
    <w:p>
      <w:pPr>
        <w:spacing w:line="360" w:lineRule="auto"/>
        <w:ind w:firstLine="437"/>
        <w:rPr>
          <w:rFonts w:ascii="宋体" w:hAnsi="宋体"/>
          <w:szCs w:val="21"/>
        </w:rPr>
      </w:pPr>
      <w:r>
        <w:rPr>
          <w:rFonts w:hint="eastAsia" w:ascii="宋体" w:hAnsi="宋体"/>
          <w:szCs w:val="21"/>
        </w:rPr>
        <w:t>1、所提供的装置和设备的大小尺寸应能适合指定的安装空间，并须考虑提供足够的维修及保养通道。</w:t>
      </w:r>
    </w:p>
    <w:p>
      <w:pPr>
        <w:spacing w:line="360" w:lineRule="auto"/>
        <w:ind w:firstLine="437"/>
        <w:rPr>
          <w:rFonts w:ascii="宋体" w:hAnsi="宋体"/>
          <w:szCs w:val="21"/>
        </w:rPr>
      </w:pPr>
      <w:r>
        <w:rPr>
          <w:rFonts w:hint="eastAsia" w:ascii="宋体" w:hAnsi="宋体"/>
          <w:szCs w:val="21"/>
        </w:rPr>
        <w:t>2、承包人应负责把全部材料运送到安装现场，对于大型重要设备的运送应拟定方案，事先交现场监理工程师审查。若承包人所提供的设备规格尺寸与图纸不符，由此造成的一切改动和费用，须由承包人负责。</w:t>
      </w:r>
    </w:p>
    <w:p>
      <w:pPr>
        <w:spacing w:line="360" w:lineRule="auto"/>
        <w:ind w:firstLine="437"/>
        <w:rPr>
          <w:rFonts w:ascii="宋体" w:hAnsi="宋体"/>
          <w:szCs w:val="21"/>
        </w:rPr>
      </w:pPr>
      <w:r>
        <w:rPr>
          <w:rFonts w:hint="eastAsia" w:ascii="宋体" w:hAnsi="宋体"/>
          <w:szCs w:val="21"/>
        </w:rPr>
        <w:t>九、样品审批</w:t>
      </w:r>
    </w:p>
    <w:p>
      <w:pPr>
        <w:spacing w:line="360" w:lineRule="auto"/>
        <w:ind w:firstLine="437"/>
        <w:rPr>
          <w:rFonts w:ascii="宋体" w:hAnsi="宋体"/>
          <w:szCs w:val="21"/>
        </w:rPr>
      </w:pPr>
      <w:r>
        <w:rPr>
          <w:rFonts w:hint="eastAsia" w:ascii="宋体" w:hAnsi="宋体"/>
          <w:szCs w:val="21"/>
        </w:rPr>
        <w:t>1、承包人须在合同生效的两周内，提交一份具体的样品清单给现场工程师审批。清单内应注明设备材料名称，制造商名称、产地、规格型号、预定交货的日期。如现场工程师认为有必要，可要求承包人补充清单以外的样品。</w:t>
      </w:r>
    </w:p>
    <w:p>
      <w:pPr>
        <w:spacing w:line="360" w:lineRule="auto"/>
        <w:ind w:firstLine="437"/>
        <w:rPr>
          <w:rFonts w:ascii="宋体" w:hAnsi="宋体"/>
          <w:szCs w:val="21"/>
        </w:rPr>
      </w:pPr>
      <w:r>
        <w:rPr>
          <w:rFonts w:hint="eastAsia" w:ascii="宋体" w:hAnsi="宋体"/>
          <w:szCs w:val="21"/>
        </w:rPr>
        <w:t>2、送审的样品需采用木板挂成行列提交，样品板应按发包人指定的统一模式制造。所有材料及工艺的样品须先获得现场监理工程师的书面批准才可在现场使用。</w:t>
      </w:r>
    </w:p>
    <w:p>
      <w:pPr>
        <w:spacing w:line="360" w:lineRule="auto"/>
        <w:ind w:firstLine="437"/>
        <w:rPr>
          <w:rFonts w:ascii="宋体" w:hAnsi="宋体"/>
          <w:szCs w:val="21"/>
        </w:rPr>
      </w:pPr>
      <w:r>
        <w:rPr>
          <w:rFonts w:hint="eastAsia" w:ascii="宋体" w:hAnsi="宋体"/>
          <w:szCs w:val="21"/>
        </w:rPr>
        <w:t>3、承包人须将获批准的样品板（一式两份），交到工地，一份保留在工地现场，一份保留在发包人处，以备日后对所用材料和工艺的核对和验收。</w:t>
      </w:r>
    </w:p>
    <w:p>
      <w:pPr>
        <w:spacing w:line="360" w:lineRule="auto"/>
        <w:ind w:firstLine="437"/>
        <w:rPr>
          <w:rFonts w:ascii="宋体" w:hAnsi="宋体"/>
          <w:szCs w:val="21"/>
        </w:rPr>
      </w:pPr>
      <w:r>
        <w:rPr>
          <w:rFonts w:hint="eastAsia" w:ascii="宋体" w:hAnsi="宋体"/>
          <w:szCs w:val="21"/>
        </w:rPr>
        <w:t>4、在每一个样品上应附有中文说明标签，标明有关承包人商，制造商名称，合同名称，将投入使用的系统名称，还必须有现场工程师的签字。</w:t>
      </w:r>
    </w:p>
    <w:p>
      <w:pPr>
        <w:spacing w:line="360" w:lineRule="auto"/>
        <w:ind w:firstLine="437"/>
        <w:rPr>
          <w:rFonts w:ascii="宋体" w:hAnsi="宋体"/>
          <w:szCs w:val="21"/>
        </w:rPr>
      </w:pPr>
      <w:r>
        <w:rPr>
          <w:rFonts w:hint="eastAsia" w:ascii="宋体" w:hAnsi="宋体"/>
          <w:szCs w:val="21"/>
        </w:rPr>
        <w:t>5、承包人还应按本技术规格说明书的要求，提供足够的样品，以备需要时进行破坏性试验用，样品试验所需的费用应由承包人负责。</w:t>
      </w:r>
    </w:p>
    <w:p>
      <w:pPr>
        <w:spacing w:line="360" w:lineRule="auto"/>
        <w:ind w:firstLine="437"/>
        <w:rPr>
          <w:rFonts w:ascii="宋体" w:hAnsi="宋体"/>
          <w:szCs w:val="21"/>
        </w:rPr>
      </w:pPr>
      <w:r>
        <w:rPr>
          <w:rFonts w:hint="eastAsia" w:ascii="宋体" w:hAnsi="宋体"/>
          <w:szCs w:val="21"/>
        </w:rPr>
        <w:t>十、材料和工艺</w:t>
      </w:r>
    </w:p>
    <w:p>
      <w:pPr>
        <w:spacing w:line="360" w:lineRule="auto"/>
        <w:ind w:firstLine="437"/>
        <w:rPr>
          <w:rFonts w:ascii="宋体" w:hAnsi="宋体"/>
          <w:szCs w:val="21"/>
        </w:rPr>
      </w:pPr>
      <w:r>
        <w:rPr>
          <w:rFonts w:hint="eastAsia" w:ascii="宋体" w:hAnsi="宋体"/>
          <w:szCs w:val="21"/>
        </w:rPr>
        <w:t>1、除了本技术规格说明书有特殊说明外，本合同范围内所使用的所有材料、设备和配件必须为全新和标准产品，并具有相应的合格等级标准。详细要求请见附表《电气工程材料、设备技术要求表》。</w:t>
      </w:r>
    </w:p>
    <w:p>
      <w:pPr>
        <w:spacing w:line="360" w:lineRule="auto"/>
        <w:ind w:firstLine="437"/>
        <w:rPr>
          <w:rFonts w:ascii="宋体" w:hAnsi="宋体"/>
          <w:szCs w:val="21"/>
        </w:rPr>
      </w:pPr>
      <w:r>
        <w:rPr>
          <w:rFonts w:hint="eastAsia" w:ascii="宋体" w:hAnsi="宋体"/>
          <w:szCs w:val="21"/>
        </w:rPr>
        <w:t>2、同类型的设备和材料应采用同一制造商的产品。</w:t>
      </w:r>
    </w:p>
    <w:p>
      <w:pPr>
        <w:spacing w:line="360" w:lineRule="auto"/>
        <w:ind w:firstLine="437"/>
        <w:rPr>
          <w:rFonts w:ascii="宋体" w:hAnsi="宋体"/>
          <w:szCs w:val="21"/>
        </w:rPr>
      </w:pPr>
      <w:r>
        <w:rPr>
          <w:rFonts w:hint="eastAsia" w:ascii="宋体" w:hAnsi="宋体"/>
          <w:szCs w:val="21"/>
        </w:rPr>
        <w:t>3、同类型的设备的零部件及其组装零件应能互相调换，备用零件与原机零件相同，性能相同。若需使用机械加工的配件，机械加工要求及允许偏差应符合图纸要求。</w:t>
      </w:r>
    </w:p>
    <w:p>
      <w:pPr>
        <w:spacing w:line="360" w:lineRule="auto"/>
        <w:ind w:firstLine="437"/>
        <w:rPr>
          <w:rFonts w:ascii="宋体" w:hAnsi="宋体"/>
          <w:szCs w:val="21"/>
        </w:rPr>
      </w:pPr>
      <w:r>
        <w:rPr>
          <w:rFonts w:hint="eastAsia" w:ascii="宋体" w:hAnsi="宋体"/>
          <w:szCs w:val="21"/>
        </w:rPr>
        <w:t>4、所有转动部件须在额定转速和最大负载情况下达到静、动力学平衡要求，同时噪音和震动必须在允许范围之内。</w:t>
      </w:r>
    </w:p>
    <w:p>
      <w:pPr>
        <w:spacing w:line="360" w:lineRule="auto"/>
        <w:ind w:firstLine="437"/>
        <w:rPr>
          <w:rFonts w:ascii="宋体" w:hAnsi="宋体"/>
          <w:szCs w:val="21"/>
        </w:rPr>
      </w:pPr>
      <w:r>
        <w:rPr>
          <w:rFonts w:hint="eastAsia" w:ascii="宋体" w:hAnsi="宋体"/>
          <w:szCs w:val="21"/>
        </w:rPr>
        <w:t>5、所有受尘埃影响会出现磨损或损坏的零部件，应设置防尘保护罩。</w:t>
      </w:r>
    </w:p>
    <w:p>
      <w:pPr>
        <w:spacing w:line="360" w:lineRule="auto"/>
        <w:ind w:firstLine="437"/>
        <w:rPr>
          <w:rFonts w:ascii="宋体" w:hAnsi="宋体"/>
          <w:szCs w:val="21"/>
        </w:rPr>
      </w:pPr>
      <w:r>
        <w:rPr>
          <w:rFonts w:hint="eastAsia" w:ascii="宋体" w:hAnsi="宋体"/>
          <w:szCs w:val="21"/>
        </w:rPr>
        <w:t>6、本合同范围内的全部施工须由熟练的专业技工进行，并应遵照本说明书所规定的工艺要求施工。发包人监理工程师有权要求承包人提供各专业技工和技术人员的资历作审查。</w:t>
      </w:r>
    </w:p>
    <w:p>
      <w:pPr>
        <w:spacing w:line="360" w:lineRule="auto"/>
        <w:ind w:firstLine="437"/>
        <w:rPr>
          <w:rFonts w:ascii="宋体" w:hAnsi="宋体"/>
          <w:szCs w:val="21"/>
        </w:rPr>
      </w:pPr>
      <w:r>
        <w:rPr>
          <w:rFonts w:hint="eastAsia" w:ascii="宋体" w:hAnsi="宋体"/>
          <w:szCs w:val="21"/>
        </w:rPr>
        <w:t>7、所有部件的安装位置方便维修保养和更换。</w:t>
      </w:r>
    </w:p>
    <w:p>
      <w:pPr>
        <w:spacing w:line="360" w:lineRule="auto"/>
        <w:jc w:val="center"/>
        <w:rPr>
          <w:rFonts w:ascii="黑体" w:hAnsi="宋体" w:eastAsia="黑体"/>
          <w:b/>
          <w:szCs w:val="21"/>
        </w:rPr>
      </w:pPr>
      <w:r>
        <w:rPr>
          <w:rFonts w:hint="eastAsia" w:ascii="黑体" w:hAnsi="宋体" w:eastAsia="黑体"/>
          <w:b/>
          <w:szCs w:val="21"/>
        </w:rPr>
        <w:t>第三节  培训</w:t>
      </w:r>
    </w:p>
    <w:p>
      <w:pPr>
        <w:spacing w:line="360" w:lineRule="auto"/>
        <w:ind w:firstLine="437"/>
        <w:rPr>
          <w:rFonts w:ascii="宋体" w:hAnsi="宋体"/>
          <w:szCs w:val="21"/>
        </w:rPr>
      </w:pPr>
      <w:r>
        <w:rPr>
          <w:rFonts w:hint="eastAsia" w:ascii="宋体" w:hAnsi="宋体"/>
          <w:szCs w:val="21"/>
        </w:rPr>
        <w:t>一、承包人须提供所需的培训设施和课程，以确保发包人的工程技术人员能对承包人所提供的系统、设备和装置的设计、运行、故障和例行维护、事故的处理和解决方法等有全面性的认识和了解。</w:t>
      </w:r>
    </w:p>
    <w:p>
      <w:pPr>
        <w:spacing w:line="360" w:lineRule="auto"/>
        <w:ind w:firstLine="437"/>
        <w:rPr>
          <w:rFonts w:ascii="宋体" w:hAnsi="宋体"/>
          <w:szCs w:val="21"/>
        </w:rPr>
      </w:pPr>
      <w:r>
        <w:rPr>
          <w:rFonts w:hint="eastAsia" w:ascii="宋体" w:hAnsi="宋体"/>
          <w:szCs w:val="21"/>
        </w:rPr>
        <w:t>二、承包人须委派资深导师进行各项培训工作。向培训学员提供并讲解有关设计资料、文件、图纸等，以使学员对整套系统的各个方面都能熟悉掌握。</w:t>
      </w:r>
    </w:p>
    <w:p>
      <w:pPr>
        <w:spacing w:line="360" w:lineRule="auto"/>
        <w:ind w:firstLine="437"/>
        <w:rPr>
          <w:rFonts w:ascii="宋体" w:hAnsi="宋体"/>
          <w:szCs w:val="21"/>
        </w:rPr>
      </w:pPr>
      <w:r>
        <w:rPr>
          <w:rFonts w:hint="eastAsia" w:ascii="宋体" w:hAnsi="宋体"/>
          <w:szCs w:val="21"/>
        </w:rPr>
        <w:t>三、上述培训所需的费用应包括在承包人的合同价内</w:t>
      </w:r>
    </w:p>
    <w:p>
      <w:pPr>
        <w:spacing w:line="360" w:lineRule="auto"/>
        <w:ind w:firstLine="437"/>
        <w:rPr>
          <w:rFonts w:ascii="宋体" w:hAnsi="宋体"/>
          <w:szCs w:val="21"/>
        </w:rPr>
      </w:pPr>
    </w:p>
    <w:p>
      <w:pPr>
        <w:spacing w:line="360" w:lineRule="auto"/>
        <w:jc w:val="center"/>
        <w:rPr>
          <w:rFonts w:hint="eastAsia" w:ascii="黑体" w:eastAsia="黑体"/>
          <w:b/>
          <w:sz w:val="32"/>
        </w:rPr>
      </w:pPr>
      <w:r>
        <w:rPr>
          <w:rFonts w:hint="eastAsia" w:ascii="黑体" w:eastAsia="黑体"/>
          <w:b/>
          <w:sz w:val="32"/>
        </w:rPr>
        <w:br w:type="page"/>
      </w:r>
    </w:p>
    <w:p>
      <w:pPr>
        <w:spacing w:line="360" w:lineRule="auto"/>
        <w:jc w:val="center"/>
        <w:rPr>
          <w:rFonts w:ascii="黑体" w:eastAsia="黑体"/>
          <w:b/>
          <w:sz w:val="32"/>
        </w:rPr>
      </w:pPr>
      <w:bookmarkStart w:id="9" w:name="_GoBack"/>
      <w:bookmarkEnd w:id="9"/>
      <w:r>
        <w:rPr>
          <w:rFonts w:hint="eastAsia" w:ascii="黑体" w:eastAsia="黑体"/>
          <w:b/>
          <w:sz w:val="32"/>
        </w:rPr>
        <w:t>第三章  专用要求</w:t>
      </w:r>
    </w:p>
    <w:p>
      <w:pPr>
        <w:pStyle w:val="6"/>
        <w:spacing w:line="360" w:lineRule="auto"/>
        <w:jc w:val="center"/>
        <w:rPr>
          <w:rFonts w:ascii="黑体" w:eastAsia="黑体"/>
          <w:sz w:val="21"/>
          <w:szCs w:val="21"/>
        </w:rPr>
      </w:pPr>
      <w:r>
        <w:rPr>
          <w:rFonts w:hint="eastAsia" w:ascii="黑体" w:eastAsia="黑体"/>
          <w:sz w:val="21"/>
          <w:szCs w:val="21"/>
        </w:rPr>
        <w:t>第一节  低压配电系统</w:t>
      </w:r>
    </w:p>
    <w:p>
      <w:pPr>
        <w:spacing w:line="360" w:lineRule="auto"/>
        <w:ind w:firstLine="437"/>
        <w:rPr>
          <w:rFonts w:ascii="宋体" w:hAnsi="宋体"/>
          <w:szCs w:val="21"/>
        </w:rPr>
      </w:pPr>
      <w:r>
        <w:rPr>
          <w:rFonts w:hint="eastAsia" w:ascii="宋体" w:hAnsi="宋体"/>
          <w:szCs w:val="21"/>
        </w:rPr>
        <w:t>一、动力配电箱（柜）、照明配电箱（盘）和控制柜（屏、台）</w:t>
      </w:r>
    </w:p>
    <w:p>
      <w:pPr>
        <w:spacing w:line="360" w:lineRule="auto"/>
        <w:ind w:firstLine="437"/>
        <w:rPr>
          <w:rFonts w:ascii="宋体" w:hAnsi="宋体"/>
          <w:szCs w:val="21"/>
        </w:rPr>
      </w:pPr>
      <w:r>
        <w:rPr>
          <w:rFonts w:hint="eastAsia" w:ascii="宋体" w:hAnsi="宋体"/>
          <w:szCs w:val="21"/>
        </w:rPr>
        <w:t>1、动力配电箱（柜）、照明配电箱（盘）和控制柜（屏、台）必须按设计要求从厂家定制。对以上设备的性能及技术要求和生产厂家所具备的基本条件详见附表《电气工程材料、设备技术要求表》。</w:t>
      </w:r>
    </w:p>
    <w:p>
      <w:pPr>
        <w:spacing w:line="360" w:lineRule="auto"/>
        <w:ind w:firstLine="437"/>
        <w:rPr>
          <w:rFonts w:ascii="宋体" w:hAnsi="宋体"/>
          <w:szCs w:val="21"/>
        </w:rPr>
      </w:pPr>
      <w:r>
        <w:rPr>
          <w:rFonts w:hint="eastAsia" w:ascii="宋体" w:hAnsi="宋体"/>
          <w:szCs w:val="21"/>
        </w:rPr>
        <w:t>2、安装：</w:t>
      </w:r>
    </w:p>
    <w:p>
      <w:pPr>
        <w:spacing w:line="360" w:lineRule="auto"/>
        <w:ind w:firstLine="437"/>
        <w:rPr>
          <w:rFonts w:ascii="宋体" w:hAnsi="宋体"/>
          <w:szCs w:val="21"/>
        </w:rPr>
      </w:pPr>
      <w:r>
        <w:rPr>
          <w:rFonts w:hint="eastAsia" w:ascii="宋体" w:hAnsi="宋体"/>
          <w:szCs w:val="21"/>
        </w:rPr>
        <w:t>⑴ 柜、箱、盘、屏、台的金属框架及基础型钢必须接地（PE）或接零（PEN）可靠，装有电器的门可开启，门和框架的接地端子间应用裸编织铜线连接，且有标识。</w:t>
      </w:r>
    </w:p>
    <w:p>
      <w:pPr>
        <w:spacing w:line="360" w:lineRule="auto"/>
        <w:ind w:firstLine="437"/>
        <w:rPr>
          <w:rFonts w:ascii="宋体" w:hAnsi="宋体"/>
          <w:szCs w:val="21"/>
        </w:rPr>
      </w:pPr>
      <w:r>
        <w:rPr>
          <w:rFonts w:hint="eastAsia" w:ascii="宋体" w:hAnsi="宋体"/>
          <w:szCs w:val="21"/>
        </w:rPr>
        <w:t>⑵ 柜、箱、盘、屏、台应有可靠的电击保护，柜（屏、台、箱、盘）内保护导体应有裸露的连接外部保护导体的端子，保护导体的最小截面积应符合规范要求。</w:t>
      </w:r>
    </w:p>
    <w:p>
      <w:pPr>
        <w:spacing w:line="360" w:lineRule="auto"/>
        <w:ind w:firstLine="437"/>
        <w:rPr>
          <w:rFonts w:ascii="宋体" w:hAnsi="宋体"/>
          <w:szCs w:val="21"/>
        </w:rPr>
      </w:pPr>
      <w:r>
        <w:rPr>
          <w:rFonts w:hint="eastAsia" w:ascii="宋体" w:hAnsi="宋体"/>
          <w:szCs w:val="21"/>
        </w:rPr>
        <w:t>⑶ 柜、箱、盘、屏、台间线路的相间和相对地间绝缘电阻，馈电线路不小于</w:t>
      </w:r>
      <w:r>
        <w:rPr>
          <w:rFonts w:ascii="宋体" w:hAnsi="宋体"/>
          <w:szCs w:val="21"/>
        </w:rPr>
        <w:t>0.5M</w:t>
      </w:r>
      <w:r>
        <w:rPr>
          <w:rFonts w:hint="eastAsia" w:ascii="宋体" w:hAnsi="宋体"/>
          <w:szCs w:val="21"/>
        </w:rPr>
        <w:t>Ω；二次回路不小于1MΩ。</w:t>
      </w:r>
    </w:p>
    <w:p>
      <w:pPr>
        <w:spacing w:line="360" w:lineRule="auto"/>
        <w:ind w:firstLine="437"/>
        <w:rPr>
          <w:rFonts w:ascii="宋体" w:hAnsi="宋体"/>
          <w:szCs w:val="21"/>
        </w:rPr>
      </w:pPr>
      <w:r>
        <w:rPr>
          <w:rFonts w:hint="eastAsia" w:ascii="宋体" w:hAnsi="宋体"/>
          <w:szCs w:val="21"/>
        </w:rPr>
        <w:t>⑷ 柜、箱、盘、屏、台间二次回路交流工频耐压试验：试验电压为1000V，当绝缘电阻大于10MΩ时，用2500V兆欧表摇测1</w:t>
      </w:r>
      <w:r>
        <w:rPr>
          <w:rFonts w:ascii="宋体" w:hAnsi="宋体"/>
          <w:szCs w:val="21"/>
        </w:rPr>
        <w:t>min</w:t>
      </w:r>
      <w:r>
        <w:rPr>
          <w:rFonts w:hint="eastAsia" w:ascii="宋体" w:hAnsi="宋体"/>
          <w:szCs w:val="21"/>
        </w:rPr>
        <w:t>；应无闪络击穿现象或符合产品要求。⑸ 照明配电箱（盘）的安装：</w:t>
      </w:r>
    </w:p>
    <w:p>
      <w:pPr>
        <w:spacing w:line="360" w:lineRule="auto"/>
        <w:ind w:firstLine="437"/>
        <w:rPr>
          <w:rFonts w:ascii="宋体" w:hAnsi="宋体"/>
          <w:szCs w:val="21"/>
        </w:rPr>
      </w:pPr>
      <w:r>
        <w:rPr>
          <w:rFonts w:hint="eastAsia" w:ascii="宋体" w:hAnsi="宋体"/>
          <w:szCs w:val="21"/>
        </w:rPr>
        <w:t>① 箱（盘）内配线整齐，无绞接现象。导线连接紧密，不伤线芯，不断股。垫圈下螺丝两侧压的导线截面相同，同一端子上的导线连接不多于2根，防松垫圈等零件齐全。</w:t>
      </w:r>
    </w:p>
    <w:p>
      <w:pPr>
        <w:spacing w:line="360" w:lineRule="auto"/>
        <w:ind w:firstLine="437"/>
        <w:rPr>
          <w:rFonts w:ascii="宋体" w:hAnsi="宋体"/>
          <w:szCs w:val="21"/>
        </w:rPr>
      </w:pPr>
      <w:r>
        <w:rPr>
          <w:rFonts w:hint="eastAsia" w:ascii="宋体" w:hAnsi="宋体"/>
          <w:szCs w:val="21"/>
        </w:rPr>
        <w:t>② 箱（盘）内开关动作灵活可靠，带有漏电保护的回路，漏电保护装置动作电流不大于30MA，动作时间不大于</w:t>
      </w:r>
      <w:r>
        <w:rPr>
          <w:rFonts w:ascii="宋体" w:hAnsi="宋体"/>
          <w:szCs w:val="21"/>
        </w:rPr>
        <w:t>0.1</w:t>
      </w:r>
      <w:r>
        <w:rPr>
          <w:rFonts w:hint="eastAsia" w:ascii="宋体" w:hAnsi="宋体"/>
          <w:szCs w:val="21"/>
        </w:rPr>
        <w:t>S。</w:t>
      </w:r>
    </w:p>
    <w:p>
      <w:pPr>
        <w:spacing w:line="360" w:lineRule="auto"/>
        <w:ind w:firstLine="437"/>
        <w:rPr>
          <w:rFonts w:ascii="宋体" w:hAnsi="宋体"/>
          <w:szCs w:val="21"/>
        </w:rPr>
      </w:pPr>
      <w:r>
        <w:rPr>
          <w:rFonts w:hint="eastAsia" w:ascii="宋体" w:hAnsi="宋体"/>
          <w:szCs w:val="21"/>
        </w:rPr>
        <w:t>③ 照明箱（盘）内，分别设置零线（N）和保护地线（PE线）汇流排，零线和保护地线经汇流排配出。</w:t>
      </w:r>
    </w:p>
    <w:p>
      <w:pPr>
        <w:spacing w:line="360" w:lineRule="auto"/>
        <w:ind w:firstLine="437"/>
        <w:rPr>
          <w:rFonts w:ascii="宋体" w:hAnsi="宋体"/>
          <w:szCs w:val="21"/>
        </w:rPr>
      </w:pPr>
      <w:r>
        <w:rPr>
          <w:rFonts w:hint="eastAsia" w:ascii="宋体" w:hAnsi="宋体"/>
          <w:szCs w:val="21"/>
        </w:rPr>
        <w:t>⑹ 柜、屏、台、箱、盘相互间或与基础型钢应用镀锌螺栓连接，且防松零件齐全。</w:t>
      </w:r>
    </w:p>
    <w:p>
      <w:pPr>
        <w:spacing w:line="360" w:lineRule="auto"/>
        <w:ind w:firstLine="437"/>
        <w:rPr>
          <w:rFonts w:ascii="宋体" w:hAnsi="宋体"/>
          <w:szCs w:val="21"/>
        </w:rPr>
      </w:pPr>
      <w:r>
        <w:rPr>
          <w:rFonts w:hint="eastAsia" w:ascii="宋体" w:hAnsi="宋体"/>
          <w:szCs w:val="21"/>
        </w:rPr>
        <w:t>⑺ 柜、屏、台、箱、盘安装垂直度允许偏差为</w:t>
      </w:r>
      <w:r>
        <w:rPr>
          <w:rFonts w:ascii="宋体" w:hAnsi="宋体"/>
          <w:szCs w:val="21"/>
        </w:rPr>
        <w:t>1.5</w:t>
      </w:r>
      <w:r>
        <w:rPr>
          <w:rFonts w:hint="eastAsia" w:ascii="宋体" w:hAnsi="宋体"/>
          <w:szCs w:val="21"/>
        </w:rPr>
        <w:t>‰，相互间接缝不应大于2</w:t>
      </w:r>
      <w:r>
        <w:rPr>
          <w:rFonts w:ascii="宋体" w:hAnsi="宋体"/>
          <w:szCs w:val="21"/>
        </w:rPr>
        <w:t>mm</w:t>
      </w:r>
      <w:r>
        <w:rPr>
          <w:rFonts w:hint="eastAsia" w:ascii="宋体" w:hAnsi="宋体"/>
          <w:szCs w:val="21"/>
        </w:rPr>
        <w:t>，成列盘面偏差不应大于5㎜</w:t>
      </w:r>
    </w:p>
    <w:p>
      <w:pPr>
        <w:spacing w:line="360" w:lineRule="auto"/>
        <w:ind w:firstLine="437"/>
        <w:rPr>
          <w:rFonts w:ascii="宋体" w:hAnsi="宋体"/>
          <w:szCs w:val="21"/>
        </w:rPr>
      </w:pPr>
      <w:r>
        <w:rPr>
          <w:rFonts w:hint="eastAsia" w:ascii="宋体" w:hAnsi="宋体"/>
          <w:szCs w:val="21"/>
        </w:rPr>
        <w:t>3、检查试验：</w:t>
      </w:r>
    </w:p>
    <w:p>
      <w:pPr>
        <w:spacing w:line="360" w:lineRule="auto"/>
        <w:ind w:firstLine="437"/>
        <w:rPr>
          <w:rFonts w:ascii="宋体" w:hAnsi="宋体"/>
          <w:szCs w:val="21"/>
        </w:rPr>
      </w:pPr>
      <w:r>
        <w:rPr>
          <w:rFonts w:hint="eastAsia" w:ascii="宋体" w:hAnsi="宋体"/>
          <w:szCs w:val="21"/>
        </w:rPr>
        <w:t>⑴ 柜、屏、台和盘内检查试验应符合下列规定：</w:t>
      </w:r>
    </w:p>
    <w:p>
      <w:pPr>
        <w:spacing w:line="360" w:lineRule="auto"/>
        <w:ind w:firstLine="437"/>
        <w:rPr>
          <w:rFonts w:ascii="宋体" w:hAnsi="宋体"/>
          <w:szCs w:val="21"/>
        </w:rPr>
      </w:pPr>
      <w:r>
        <w:rPr>
          <w:rFonts w:hint="eastAsia" w:ascii="宋体" w:hAnsi="宋体"/>
          <w:szCs w:val="21"/>
        </w:rPr>
        <w:t>① 控制开关及保护装置的规格、型号符合设计要求。</w:t>
      </w:r>
    </w:p>
    <w:p>
      <w:pPr>
        <w:spacing w:line="360" w:lineRule="auto"/>
        <w:ind w:firstLine="437"/>
        <w:rPr>
          <w:rFonts w:ascii="宋体" w:hAnsi="宋体"/>
          <w:szCs w:val="21"/>
        </w:rPr>
      </w:pPr>
      <w:r>
        <w:rPr>
          <w:rFonts w:hint="eastAsia" w:ascii="宋体" w:hAnsi="宋体"/>
          <w:szCs w:val="21"/>
        </w:rPr>
        <w:t>②闭锁装置动作准确、可靠。</w:t>
      </w:r>
    </w:p>
    <w:p>
      <w:pPr>
        <w:spacing w:line="360" w:lineRule="auto"/>
        <w:ind w:firstLine="437"/>
        <w:rPr>
          <w:rFonts w:ascii="宋体" w:hAnsi="宋体"/>
          <w:szCs w:val="21"/>
        </w:rPr>
      </w:pPr>
      <w:r>
        <w:rPr>
          <w:rFonts w:hint="eastAsia" w:ascii="宋体" w:hAnsi="宋体"/>
          <w:szCs w:val="21"/>
        </w:rPr>
        <w:t>③ 主开关的辅助开关切换动作与主开关动作一致。</w:t>
      </w:r>
    </w:p>
    <w:p>
      <w:pPr>
        <w:spacing w:line="360" w:lineRule="auto"/>
        <w:ind w:firstLine="437"/>
        <w:rPr>
          <w:rFonts w:ascii="宋体" w:hAnsi="宋体"/>
          <w:szCs w:val="21"/>
        </w:rPr>
      </w:pPr>
      <w:r>
        <w:rPr>
          <w:rFonts w:hint="eastAsia" w:ascii="宋体" w:hAnsi="宋体"/>
          <w:szCs w:val="21"/>
        </w:rPr>
        <w:t>④ 柜、屏、台、箱、盘上的标识器件标明被控制设备编号、名称或操作位置，接线端子有编号，且清晰、工整、不易脱色 。</w:t>
      </w:r>
    </w:p>
    <w:p>
      <w:pPr>
        <w:spacing w:line="360" w:lineRule="auto"/>
        <w:ind w:firstLine="437"/>
        <w:rPr>
          <w:rFonts w:ascii="宋体" w:hAnsi="宋体"/>
          <w:szCs w:val="21"/>
        </w:rPr>
      </w:pPr>
      <w:r>
        <w:rPr>
          <w:rFonts w:hint="eastAsia" w:ascii="宋体" w:hAnsi="宋体"/>
          <w:szCs w:val="21"/>
        </w:rPr>
        <w:t>⑤ 回路中的电子元件不应参加交流耐压试验；48V及以下回路可不作交流工频耐压试验。</w:t>
      </w:r>
    </w:p>
    <w:p>
      <w:pPr>
        <w:spacing w:line="360" w:lineRule="auto"/>
        <w:ind w:firstLine="437"/>
        <w:rPr>
          <w:rFonts w:ascii="宋体" w:hAnsi="宋体"/>
          <w:szCs w:val="21"/>
        </w:rPr>
      </w:pPr>
      <w:r>
        <w:rPr>
          <w:rFonts w:hint="eastAsia" w:ascii="宋体" w:hAnsi="宋体"/>
          <w:szCs w:val="21"/>
        </w:rPr>
        <w:t>⑵ 低压电器组合应符合下列规定：</w:t>
      </w:r>
    </w:p>
    <w:p>
      <w:pPr>
        <w:spacing w:line="360" w:lineRule="auto"/>
        <w:ind w:firstLine="437"/>
        <w:rPr>
          <w:rFonts w:ascii="宋体" w:hAnsi="宋体"/>
          <w:szCs w:val="21"/>
        </w:rPr>
      </w:pPr>
      <w:r>
        <w:rPr>
          <w:rFonts w:hint="eastAsia" w:ascii="宋体" w:hAnsi="宋体"/>
          <w:szCs w:val="21"/>
        </w:rPr>
        <w:t>① 发热元件安装在散热良好的位置。</w:t>
      </w:r>
    </w:p>
    <w:p>
      <w:pPr>
        <w:spacing w:line="360" w:lineRule="auto"/>
        <w:ind w:firstLine="437"/>
        <w:rPr>
          <w:rFonts w:ascii="宋体" w:hAnsi="宋体"/>
          <w:szCs w:val="21"/>
        </w:rPr>
      </w:pPr>
      <w:r>
        <w:rPr>
          <w:rFonts w:hint="eastAsia" w:ascii="宋体" w:hAnsi="宋体"/>
          <w:szCs w:val="21"/>
        </w:rPr>
        <w:t>② 自动开关的整定值符合设计要求。</w:t>
      </w:r>
    </w:p>
    <w:p>
      <w:pPr>
        <w:spacing w:line="360" w:lineRule="auto"/>
        <w:ind w:firstLine="437"/>
        <w:rPr>
          <w:rFonts w:ascii="宋体" w:hAnsi="宋体"/>
          <w:szCs w:val="21"/>
        </w:rPr>
      </w:pPr>
      <w:r>
        <w:rPr>
          <w:rFonts w:hint="eastAsia" w:ascii="宋体" w:hAnsi="宋体"/>
          <w:szCs w:val="21"/>
        </w:rPr>
        <w:t>③ 信号回路的信号灯、按钮、光字牌、电铃、电笛、事故电气中等动作和信号显示正确。</w:t>
      </w:r>
    </w:p>
    <w:p>
      <w:pPr>
        <w:spacing w:line="360" w:lineRule="auto"/>
        <w:ind w:firstLine="437"/>
        <w:rPr>
          <w:rFonts w:ascii="宋体" w:hAnsi="宋体"/>
          <w:szCs w:val="21"/>
        </w:rPr>
      </w:pPr>
      <w:r>
        <w:rPr>
          <w:rFonts w:hint="eastAsia" w:ascii="宋体" w:hAnsi="宋体"/>
          <w:szCs w:val="21"/>
        </w:rPr>
        <w:t>④ 外壳需接地（PE）或接零（PEN）的，连接可靠。</w:t>
      </w:r>
    </w:p>
    <w:p>
      <w:pPr>
        <w:spacing w:line="360" w:lineRule="auto"/>
        <w:ind w:firstLine="437"/>
        <w:rPr>
          <w:rFonts w:ascii="宋体" w:hAnsi="宋体"/>
          <w:szCs w:val="21"/>
        </w:rPr>
      </w:pPr>
      <w:r>
        <w:rPr>
          <w:rFonts w:hint="eastAsia" w:ascii="宋体" w:hAnsi="宋体"/>
          <w:szCs w:val="21"/>
        </w:rPr>
        <w:t>⑤ 端子排安装牢固，端子有序号，强电、弱电端子隔离布置，端子规格与线芯截面大小适配。</w:t>
      </w:r>
    </w:p>
    <w:p>
      <w:pPr>
        <w:spacing w:line="360" w:lineRule="auto"/>
        <w:ind w:firstLine="437"/>
        <w:rPr>
          <w:rFonts w:ascii="宋体" w:hAnsi="宋体"/>
          <w:szCs w:val="21"/>
        </w:rPr>
      </w:pPr>
      <w:r>
        <w:rPr>
          <w:rFonts w:hint="eastAsia" w:ascii="宋体" w:hAnsi="宋体"/>
          <w:szCs w:val="21"/>
        </w:rPr>
        <w:t>⑶ 柜、屏、台、箱（盘）间配线：电流回路应采用额定电压不低于750V，线芯截面不小于2.5mm</w:t>
      </w:r>
      <w:r>
        <w:rPr>
          <w:rFonts w:hint="eastAsia" w:ascii="宋体" w:hAnsi="宋体"/>
          <w:szCs w:val="21"/>
          <w:vertAlign w:val="superscript"/>
        </w:rPr>
        <w:t>2</w:t>
      </w:r>
      <w:r>
        <w:rPr>
          <w:rFonts w:hint="eastAsia" w:ascii="宋体" w:hAnsi="宋体"/>
          <w:szCs w:val="21"/>
        </w:rPr>
        <w:t>的铜芯绝缘电线或电缆；除电子元件回路或类似回路外，其它回路的电线应采用额定电压不低于750V、线芯截面不小于1.5mm</w:t>
      </w:r>
      <w:r>
        <w:rPr>
          <w:rFonts w:hint="eastAsia" w:ascii="宋体" w:hAnsi="宋体"/>
          <w:szCs w:val="21"/>
          <w:vertAlign w:val="superscript"/>
        </w:rPr>
        <w:t>2</w:t>
      </w:r>
      <w:r>
        <w:rPr>
          <w:rFonts w:hint="eastAsia" w:ascii="宋体" w:hAnsi="宋体"/>
          <w:szCs w:val="21"/>
        </w:rPr>
        <w:t>的铜芯绝缘电线或电缆。</w:t>
      </w:r>
    </w:p>
    <w:p>
      <w:pPr>
        <w:spacing w:line="360" w:lineRule="auto"/>
        <w:ind w:firstLine="437"/>
        <w:rPr>
          <w:rFonts w:ascii="宋体" w:hAnsi="宋体"/>
          <w:szCs w:val="21"/>
        </w:rPr>
      </w:pPr>
      <w:r>
        <w:rPr>
          <w:rFonts w:hint="eastAsia" w:ascii="宋体" w:hAnsi="宋体"/>
          <w:szCs w:val="21"/>
        </w:rPr>
        <w:t>二次回路连线应成束绑扎，不同电压等级、交流、直流线路及计算机控制线路应分别绑扎，且有标识，固定后不得妨碍抽出部件拉出或推入。</w:t>
      </w:r>
    </w:p>
    <w:p>
      <w:pPr>
        <w:spacing w:line="360" w:lineRule="auto"/>
        <w:ind w:firstLine="437"/>
        <w:rPr>
          <w:rFonts w:ascii="宋体" w:hAnsi="宋体"/>
          <w:szCs w:val="21"/>
        </w:rPr>
      </w:pPr>
      <w:r>
        <w:rPr>
          <w:rFonts w:hint="eastAsia" w:ascii="宋体" w:hAnsi="宋体"/>
          <w:szCs w:val="21"/>
        </w:rPr>
        <w:t>⑷ 连接柜、屏、台、箱、盘面板上的电器及控制台、板可动部位的电线应符合下列规定：</w:t>
      </w:r>
    </w:p>
    <w:p>
      <w:pPr>
        <w:spacing w:line="360" w:lineRule="auto"/>
        <w:ind w:firstLine="437"/>
        <w:rPr>
          <w:rFonts w:ascii="宋体" w:hAnsi="宋体"/>
          <w:szCs w:val="21"/>
        </w:rPr>
      </w:pPr>
      <w:r>
        <w:rPr>
          <w:rFonts w:hint="eastAsia" w:ascii="宋体" w:hAnsi="宋体"/>
          <w:szCs w:val="21"/>
        </w:rPr>
        <w:t>① 采用多股铜芯软电线，敷设长度留有适当裕量。</w:t>
      </w:r>
    </w:p>
    <w:p>
      <w:pPr>
        <w:spacing w:line="360" w:lineRule="auto"/>
        <w:ind w:firstLine="437"/>
        <w:rPr>
          <w:rFonts w:ascii="宋体" w:hAnsi="宋体"/>
          <w:szCs w:val="21"/>
        </w:rPr>
      </w:pPr>
      <w:r>
        <w:rPr>
          <w:rFonts w:hint="eastAsia" w:ascii="宋体" w:hAnsi="宋体"/>
          <w:szCs w:val="21"/>
        </w:rPr>
        <w:t>② 线束有外套塑料管等加强绝缘保护层。</w:t>
      </w:r>
    </w:p>
    <w:p>
      <w:pPr>
        <w:spacing w:line="360" w:lineRule="auto"/>
        <w:ind w:firstLine="437"/>
        <w:rPr>
          <w:rFonts w:ascii="宋体" w:hAnsi="宋体"/>
          <w:szCs w:val="21"/>
        </w:rPr>
      </w:pPr>
      <w:r>
        <w:rPr>
          <w:rFonts w:hint="eastAsia" w:ascii="宋体" w:hAnsi="宋体"/>
          <w:szCs w:val="21"/>
        </w:rPr>
        <w:t>③ 与电器连接时，端部绞紧，且有不开口的终端端子或搪锡，不松散、断股。</w:t>
      </w:r>
    </w:p>
    <w:p>
      <w:pPr>
        <w:spacing w:line="360" w:lineRule="auto"/>
        <w:ind w:firstLine="437"/>
        <w:rPr>
          <w:rFonts w:ascii="宋体" w:hAnsi="宋体"/>
          <w:szCs w:val="21"/>
        </w:rPr>
      </w:pPr>
      <w:r>
        <w:rPr>
          <w:rFonts w:hint="eastAsia" w:ascii="宋体" w:hAnsi="宋体"/>
          <w:szCs w:val="21"/>
        </w:rPr>
        <w:t>④ 可转动部位的两端用卡子固定。</w:t>
      </w:r>
    </w:p>
    <w:p>
      <w:pPr>
        <w:spacing w:line="360" w:lineRule="auto"/>
        <w:ind w:firstLine="437"/>
        <w:rPr>
          <w:rFonts w:ascii="宋体" w:hAnsi="宋体"/>
          <w:szCs w:val="21"/>
        </w:rPr>
      </w:pPr>
      <w:r>
        <w:rPr>
          <w:rFonts w:hint="eastAsia" w:ascii="宋体" w:hAnsi="宋体"/>
          <w:szCs w:val="21"/>
        </w:rPr>
        <w:t>⑸ 照明盘电箱（盘）的安装应符合下列规定：</w:t>
      </w:r>
    </w:p>
    <w:p>
      <w:pPr>
        <w:spacing w:line="360" w:lineRule="auto"/>
        <w:ind w:firstLine="437"/>
        <w:rPr>
          <w:rFonts w:ascii="宋体" w:hAnsi="宋体"/>
          <w:szCs w:val="21"/>
        </w:rPr>
      </w:pPr>
      <w:r>
        <w:rPr>
          <w:rFonts w:hint="eastAsia" w:ascii="宋体" w:hAnsi="宋体"/>
          <w:szCs w:val="21"/>
        </w:rPr>
        <w:t>① 位置正确，部件齐全，箱体开孔与导管管径相适配；暗装配电箱箱盖紧贴墙面，箱（盘）涂层完整。</w:t>
      </w:r>
    </w:p>
    <w:p>
      <w:pPr>
        <w:spacing w:line="360" w:lineRule="auto"/>
        <w:ind w:firstLine="437"/>
        <w:rPr>
          <w:rFonts w:ascii="宋体" w:hAnsi="宋体"/>
          <w:szCs w:val="21"/>
        </w:rPr>
      </w:pPr>
      <w:r>
        <w:rPr>
          <w:rFonts w:hint="eastAsia" w:ascii="宋体" w:hAnsi="宋体"/>
          <w:szCs w:val="21"/>
        </w:rPr>
        <w:t>② 箱（盘）内接线整齐，回路编号齐全，标识正确。</w:t>
      </w:r>
    </w:p>
    <w:p>
      <w:pPr>
        <w:spacing w:line="360" w:lineRule="auto"/>
        <w:ind w:firstLine="437"/>
        <w:rPr>
          <w:rFonts w:ascii="宋体" w:hAnsi="宋体"/>
          <w:szCs w:val="21"/>
        </w:rPr>
      </w:pPr>
      <w:r>
        <w:rPr>
          <w:rFonts w:hint="eastAsia" w:ascii="宋体" w:hAnsi="宋体"/>
          <w:szCs w:val="21"/>
        </w:rPr>
        <w:t>③ 箱（盘）不采用可燃材料制作。</w:t>
      </w:r>
    </w:p>
    <w:p>
      <w:pPr>
        <w:spacing w:line="360" w:lineRule="auto"/>
        <w:ind w:firstLine="437"/>
        <w:rPr>
          <w:rFonts w:ascii="宋体" w:hAnsi="宋体"/>
          <w:szCs w:val="21"/>
        </w:rPr>
      </w:pPr>
      <w:r>
        <w:rPr>
          <w:rFonts w:hint="eastAsia" w:ascii="宋体" w:hAnsi="宋体"/>
          <w:szCs w:val="21"/>
        </w:rPr>
        <w:t>④ 箱（盘）安装牢固，垂直度允许偏差为1.5</w:t>
      </w:r>
      <w:r>
        <w:rPr>
          <w:rFonts w:ascii="宋体" w:hAnsi="宋体"/>
          <w:szCs w:val="21"/>
        </w:rPr>
        <w:t>‰</w:t>
      </w:r>
      <w:r>
        <w:rPr>
          <w:rFonts w:hint="eastAsia" w:ascii="宋体" w:hAnsi="宋体"/>
          <w:szCs w:val="21"/>
        </w:rPr>
        <w:t>；底边距地距离符合施工图设计要求。</w:t>
      </w:r>
    </w:p>
    <w:p>
      <w:pPr>
        <w:spacing w:line="360" w:lineRule="auto"/>
        <w:ind w:firstLine="437"/>
        <w:rPr>
          <w:rFonts w:ascii="宋体" w:hAnsi="宋体"/>
          <w:szCs w:val="21"/>
        </w:rPr>
      </w:pPr>
      <w:r>
        <w:rPr>
          <w:rFonts w:hint="eastAsia" w:ascii="宋体" w:hAnsi="宋体"/>
          <w:szCs w:val="21"/>
        </w:rPr>
        <w:t>二、配电线路</w:t>
      </w:r>
    </w:p>
    <w:p>
      <w:pPr>
        <w:spacing w:line="360" w:lineRule="auto"/>
        <w:ind w:firstLine="437"/>
        <w:rPr>
          <w:rFonts w:ascii="宋体" w:hAnsi="宋体"/>
          <w:szCs w:val="21"/>
        </w:rPr>
      </w:pPr>
      <w:r>
        <w:rPr>
          <w:rFonts w:hint="eastAsia" w:ascii="宋体" w:hAnsi="宋体"/>
          <w:szCs w:val="21"/>
        </w:rPr>
        <w:t>1、配线所用材料电线导管、线槽、桥架、电线电缆必须符合设计要求。对以上材料的性能及技术要求和生产厂家所具备的基本条件详见附表《电气工程材料、设备产品性能、技术要求或生产厂家基本要求》。</w:t>
      </w:r>
    </w:p>
    <w:p>
      <w:pPr>
        <w:spacing w:line="360" w:lineRule="auto"/>
        <w:ind w:firstLine="437"/>
        <w:rPr>
          <w:rFonts w:ascii="宋体" w:hAnsi="宋体"/>
          <w:szCs w:val="21"/>
        </w:rPr>
      </w:pPr>
      <w:r>
        <w:rPr>
          <w:rFonts w:hint="eastAsia" w:ascii="宋体" w:hAnsi="宋体"/>
          <w:szCs w:val="21"/>
        </w:rPr>
        <w:t>2、电线导管敷设质量要求：</w:t>
      </w:r>
    </w:p>
    <w:p>
      <w:pPr>
        <w:spacing w:line="360" w:lineRule="auto"/>
        <w:ind w:firstLine="437"/>
        <w:rPr>
          <w:rFonts w:ascii="宋体" w:hAnsi="宋体"/>
          <w:szCs w:val="21"/>
        </w:rPr>
      </w:pPr>
      <w:r>
        <w:rPr>
          <w:rFonts w:hint="eastAsia" w:ascii="宋体" w:hAnsi="宋体"/>
          <w:szCs w:val="21"/>
        </w:rPr>
        <w:t xml:space="preserve">⑴ 金属导管敷设要求 </w:t>
      </w:r>
    </w:p>
    <w:p>
      <w:pPr>
        <w:spacing w:line="360" w:lineRule="auto"/>
        <w:ind w:firstLine="437"/>
        <w:rPr>
          <w:rFonts w:ascii="宋体" w:hAnsi="宋体"/>
          <w:szCs w:val="21"/>
        </w:rPr>
      </w:pPr>
      <w:r>
        <w:rPr>
          <w:rFonts w:hint="eastAsia" w:ascii="宋体" w:hAnsi="宋体"/>
          <w:szCs w:val="21"/>
        </w:rPr>
        <w:t>① 金属导管严禁对口熔焊连接；镀锌钢管和壁厚小于或等于2mm的钢导管不得用套管熔焊连接。直径为20mm金属导管壁厚不能小于1.5mm。直径大于20mm金属导管其壁厚应符合规范要求。</w:t>
      </w:r>
    </w:p>
    <w:p>
      <w:pPr>
        <w:spacing w:line="360" w:lineRule="auto"/>
        <w:ind w:firstLine="437"/>
        <w:rPr>
          <w:rFonts w:ascii="宋体" w:hAnsi="宋体"/>
          <w:szCs w:val="21"/>
        </w:rPr>
      </w:pPr>
      <w:r>
        <w:rPr>
          <w:rFonts w:hint="eastAsia" w:ascii="宋体" w:hAnsi="宋体"/>
          <w:szCs w:val="21"/>
        </w:rPr>
        <w:t>② 金属导管和线槽必须接地（PE）或接零（PEN）可靠，镀锌钢导管、可挠性金属导管不得熔焊跨接接地线，须以专用接地卡跨接的两卡间连线为铜芯软导线，截面积不小于4mm</w:t>
      </w:r>
      <w:r>
        <w:rPr>
          <w:rFonts w:hint="eastAsia" w:ascii="宋体" w:hAnsi="宋体"/>
          <w:szCs w:val="21"/>
          <w:vertAlign w:val="superscript"/>
        </w:rPr>
        <w:t>2</w:t>
      </w:r>
      <w:r>
        <w:rPr>
          <w:rFonts w:hint="eastAsia" w:ascii="宋体" w:hAnsi="宋体"/>
          <w:szCs w:val="21"/>
        </w:rPr>
        <w:t>。</w:t>
      </w:r>
    </w:p>
    <w:p>
      <w:pPr>
        <w:spacing w:line="360" w:lineRule="auto"/>
        <w:ind w:firstLine="437"/>
        <w:rPr>
          <w:rFonts w:ascii="宋体" w:hAnsi="宋体"/>
          <w:szCs w:val="21"/>
        </w:rPr>
      </w:pPr>
      <w:r>
        <w:rPr>
          <w:rFonts w:hint="eastAsia" w:ascii="宋体" w:hAnsi="宋体"/>
          <w:szCs w:val="21"/>
        </w:rPr>
        <w:t>⑵ 室外导管的管口应设置在盒箱内。所有管口在穿入电线后应作密封处理。壁厚小于2mm的钢电线管不应埋设于室外土壤内。</w:t>
      </w:r>
    </w:p>
    <w:p>
      <w:pPr>
        <w:spacing w:line="360" w:lineRule="auto"/>
        <w:ind w:firstLine="437"/>
        <w:rPr>
          <w:rFonts w:ascii="宋体" w:hAnsi="宋体"/>
          <w:szCs w:val="21"/>
        </w:rPr>
      </w:pPr>
      <w:r>
        <w:rPr>
          <w:rFonts w:hint="eastAsia" w:ascii="宋体" w:hAnsi="宋体"/>
          <w:szCs w:val="21"/>
        </w:rPr>
        <w:t>⑶ 进入落地室柜、台、箱、盘内的导管管口，应高于台、箱盘的基础面50～80mm。</w:t>
      </w:r>
    </w:p>
    <w:p>
      <w:pPr>
        <w:spacing w:line="360" w:lineRule="auto"/>
        <w:ind w:firstLine="437"/>
        <w:rPr>
          <w:rFonts w:ascii="宋体" w:hAnsi="宋体"/>
          <w:szCs w:val="21"/>
        </w:rPr>
      </w:pPr>
      <w:r>
        <w:rPr>
          <w:rFonts w:hint="eastAsia" w:ascii="宋体" w:hAnsi="宋体"/>
          <w:szCs w:val="21"/>
        </w:rPr>
        <w:t>⑷ 明配管应排列整齐，横平竖直，固定点间距均匀，安装牢固；在终端、弯头中点或柜、台、箱等边缘的距离150～500mm范围内没有管卡，中间直线段管卡间的最大距离符合规范要求。</w:t>
      </w:r>
    </w:p>
    <w:p>
      <w:pPr>
        <w:spacing w:line="360" w:lineRule="auto"/>
        <w:ind w:firstLine="437"/>
        <w:rPr>
          <w:rFonts w:ascii="宋体" w:hAnsi="宋体"/>
          <w:szCs w:val="21"/>
        </w:rPr>
      </w:pPr>
      <w:r>
        <w:rPr>
          <w:rFonts w:hint="eastAsia" w:ascii="宋体" w:hAnsi="宋体"/>
          <w:szCs w:val="21"/>
        </w:rPr>
        <w:t>⑸ 绝缘导管的敷设要求</w:t>
      </w:r>
    </w:p>
    <w:p>
      <w:pPr>
        <w:spacing w:line="360" w:lineRule="auto"/>
        <w:ind w:firstLine="437"/>
        <w:rPr>
          <w:rFonts w:ascii="宋体" w:hAnsi="宋体"/>
          <w:szCs w:val="21"/>
        </w:rPr>
      </w:pPr>
      <w:r>
        <w:rPr>
          <w:rFonts w:hint="eastAsia" w:ascii="宋体" w:hAnsi="宋体"/>
          <w:szCs w:val="21"/>
        </w:rPr>
        <w:t>① 管口平整光滑，管与管、管与盒（箱）等器件采用插入法连接时，连接处结合面涂专用胶粘剂，接口牢固密封。</w:t>
      </w:r>
    </w:p>
    <w:p>
      <w:pPr>
        <w:spacing w:line="360" w:lineRule="auto"/>
        <w:ind w:firstLine="437"/>
        <w:rPr>
          <w:rFonts w:ascii="宋体" w:hAnsi="宋体"/>
          <w:szCs w:val="21"/>
        </w:rPr>
      </w:pPr>
      <w:r>
        <w:rPr>
          <w:rFonts w:hint="eastAsia" w:ascii="宋体" w:hAnsi="宋体"/>
          <w:szCs w:val="21"/>
        </w:rPr>
        <w:t>② 直埋于地下或楼板内的刚性绝缘导管，在穿出地面或楼板易受机械损伤的一段，采取保护措施。</w:t>
      </w:r>
    </w:p>
    <w:p>
      <w:pPr>
        <w:spacing w:line="360" w:lineRule="auto"/>
        <w:ind w:firstLine="437"/>
        <w:rPr>
          <w:rFonts w:ascii="宋体" w:hAnsi="宋体"/>
          <w:szCs w:val="21"/>
        </w:rPr>
      </w:pPr>
      <w:r>
        <w:rPr>
          <w:rFonts w:hint="eastAsia" w:ascii="宋体" w:hAnsi="宋体"/>
          <w:szCs w:val="21"/>
        </w:rPr>
        <w:t>⑹ 金属、非金属柔性导管的敷设：</w:t>
      </w:r>
    </w:p>
    <w:p>
      <w:pPr>
        <w:spacing w:line="360" w:lineRule="auto"/>
        <w:ind w:firstLine="437"/>
        <w:rPr>
          <w:rFonts w:ascii="宋体" w:hAnsi="宋体"/>
          <w:szCs w:val="21"/>
        </w:rPr>
      </w:pPr>
      <w:r>
        <w:rPr>
          <w:rFonts w:hint="eastAsia" w:ascii="宋体" w:hAnsi="宋体"/>
          <w:szCs w:val="21"/>
        </w:rPr>
        <w:t>① 刚性导管经柔性导管与刚性导管或电气设备、器具间连接，柔性导管的长度在动力工程中不大于0.8m；在照明工程中不大于1.2m。</w:t>
      </w:r>
    </w:p>
    <w:p>
      <w:pPr>
        <w:spacing w:line="360" w:lineRule="auto"/>
        <w:ind w:firstLine="437"/>
        <w:rPr>
          <w:rFonts w:ascii="宋体" w:hAnsi="宋体"/>
          <w:szCs w:val="21"/>
        </w:rPr>
      </w:pPr>
      <w:r>
        <w:rPr>
          <w:rFonts w:hint="eastAsia" w:ascii="宋体" w:hAnsi="宋体"/>
          <w:szCs w:val="21"/>
        </w:rPr>
        <w:t>② 可挠金属管或其它柔性导管与刚性导管或电气设备、器具间的连接采用专用接头，复合型可挠金属管或其它柔性导管的连接处密封良好，防腐液覆盖层完整无损。</w:t>
      </w:r>
    </w:p>
    <w:p>
      <w:pPr>
        <w:spacing w:line="360" w:lineRule="auto"/>
        <w:ind w:firstLine="437"/>
        <w:rPr>
          <w:rFonts w:ascii="宋体" w:hAnsi="宋体"/>
          <w:szCs w:val="21"/>
        </w:rPr>
      </w:pPr>
      <w:r>
        <w:rPr>
          <w:rFonts w:hint="eastAsia" w:ascii="宋体" w:hAnsi="宋体"/>
          <w:szCs w:val="21"/>
        </w:rPr>
        <w:t>③ 可挠性金属导管和金属柔性导管不能做接地（PE）或接零（PEN）的接续导体。</w:t>
      </w:r>
    </w:p>
    <w:p>
      <w:pPr>
        <w:spacing w:line="360" w:lineRule="auto"/>
        <w:ind w:firstLine="437"/>
        <w:rPr>
          <w:rFonts w:ascii="宋体" w:hAnsi="宋体"/>
          <w:szCs w:val="21"/>
        </w:rPr>
      </w:pPr>
      <w:r>
        <w:rPr>
          <w:rFonts w:hint="eastAsia" w:ascii="宋体" w:hAnsi="宋体"/>
          <w:szCs w:val="21"/>
        </w:rPr>
        <w:t>④ 导管在建筑物变形缝处应设补偿装置。</w:t>
      </w:r>
    </w:p>
    <w:p>
      <w:pPr>
        <w:spacing w:line="360" w:lineRule="auto"/>
        <w:ind w:firstLine="437"/>
        <w:rPr>
          <w:rFonts w:ascii="宋体" w:hAnsi="宋体"/>
          <w:szCs w:val="21"/>
        </w:rPr>
      </w:pPr>
      <w:r>
        <w:rPr>
          <w:rFonts w:hint="eastAsia" w:ascii="宋体" w:hAnsi="宋体"/>
          <w:szCs w:val="21"/>
        </w:rPr>
        <w:t>3、电线穿管的质量要求：</w:t>
      </w:r>
    </w:p>
    <w:p>
      <w:pPr>
        <w:spacing w:line="360" w:lineRule="auto"/>
        <w:ind w:firstLine="437"/>
        <w:rPr>
          <w:rFonts w:ascii="宋体" w:hAnsi="宋体"/>
          <w:szCs w:val="21"/>
        </w:rPr>
      </w:pPr>
      <w:r>
        <w:rPr>
          <w:rFonts w:hint="eastAsia" w:ascii="宋体" w:hAnsi="宋体"/>
          <w:szCs w:val="21"/>
        </w:rPr>
        <w:t>⑴ 三相式单相交流单芯电缆，不得单独穿于钢导管内。</w:t>
      </w:r>
    </w:p>
    <w:p>
      <w:pPr>
        <w:spacing w:line="360" w:lineRule="auto"/>
        <w:ind w:firstLine="437"/>
        <w:rPr>
          <w:rFonts w:ascii="宋体" w:hAnsi="宋体"/>
          <w:szCs w:val="21"/>
        </w:rPr>
      </w:pPr>
      <w:r>
        <w:rPr>
          <w:rFonts w:hint="eastAsia" w:ascii="宋体" w:hAnsi="宋体"/>
          <w:szCs w:val="21"/>
        </w:rPr>
        <w:t>⑵ 电线穿管前，应清除管内杂物和积水。管口应有保护措施，不进入接线盒（箱）的垂直管口穿入电线后，管口应密封。</w:t>
      </w:r>
    </w:p>
    <w:p>
      <w:pPr>
        <w:spacing w:line="360" w:lineRule="auto"/>
        <w:ind w:firstLine="437"/>
        <w:rPr>
          <w:rFonts w:ascii="宋体" w:hAnsi="宋体"/>
          <w:szCs w:val="21"/>
        </w:rPr>
      </w:pPr>
      <w:r>
        <w:rPr>
          <w:rFonts w:hint="eastAsia" w:ascii="宋体" w:hAnsi="宋体"/>
          <w:szCs w:val="21"/>
        </w:rPr>
        <w:t>⑶ 不同回路、不同电压等级和交流与直流的电线，不应穿于同一导管内；同一交流回路的电线应穿于同一金属导管内，且管内电线不得有接头。</w:t>
      </w:r>
    </w:p>
    <w:p>
      <w:pPr>
        <w:spacing w:line="360" w:lineRule="auto"/>
        <w:ind w:firstLine="437"/>
        <w:rPr>
          <w:rFonts w:ascii="宋体" w:hAnsi="宋体"/>
          <w:szCs w:val="21"/>
        </w:rPr>
      </w:pPr>
      <w:r>
        <w:rPr>
          <w:rFonts w:hint="eastAsia" w:ascii="宋体" w:hAnsi="宋体"/>
          <w:szCs w:val="21"/>
        </w:rPr>
        <w:t>⑷ 当采用多相供电时，同一建筑物、构筑物的电线绝缘层颜色选择一致，保护地线（PE）应是黄绿相间色，零线用淡兰色；相线用：A相—黄色，B相—绿色，C相—红色。</w:t>
      </w:r>
    </w:p>
    <w:p>
      <w:pPr>
        <w:spacing w:line="360" w:lineRule="auto"/>
        <w:ind w:firstLine="437"/>
        <w:rPr>
          <w:rFonts w:ascii="宋体" w:hAnsi="宋体"/>
          <w:szCs w:val="21"/>
        </w:rPr>
      </w:pPr>
      <w:r>
        <w:rPr>
          <w:rFonts w:hint="eastAsia" w:ascii="宋体" w:hAnsi="宋体"/>
          <w:szCs w:val="21"/>
        </w:rPr>
        <w:t>⑸ 低压电线，相间和相对地间的绝缘电阻必须大于0.5M</w:t>
      </w:r>
      <w:r>
        <w:rPr>
          <w:rFonts w:ascii="宋体" w:hAnsi="宋体"/>
          <w:szCs w:val="21"/>
        </w:rPr>
        <w:t>Ω</w:t>
      </w:r>
      <w:r>
        <w:rPr>
          <w:rFonts w:hint="eastAsia" w:ascii="宋体" w:hAnsi="宋体"/>
          <w:szCs w:val="21"/>
        </w:rPr>
        <w:t>。</w:t>
      </w:r>
    </w:p>
    <w:p>
      <w:pPr>
        <w:spacing w:line="360" w:lineRule="auto"/>
        <w:ind w:firstLine="437"/>
        <w:rPr>
          <w:rFonts w:ascii="宋体" w:hAnsi="宋体"/>
          <w:szCs w:val="21"/>
        </w:rPr>
      </w:pPr>
      <w:r>
        <w:rPr>
          <w:rFonts w:hint="eastAsia" w:ascii="宋体" w:hAnsi="宋体"/>
          <w:szCs w:val="21"/>
        </w:rPr>
        <w:t>⑹ 电线接线必须正确，并联运行的电线的型号、规格、长度、相位一致。</w:t>
      </w:r>
    </w:p>
    <w:p>
      <w:pPr>
        <w:spacing w:line="360" w:lineRule="auto"/>
        <w:ind w:firstLine="437"/>
        <w:rPr>
          <w:rFonts w:ascii="宋体" w:hAnsi="宋体"/>
          <w:szCs w:val="21"/>
        </w:rPr>
      </w:pPr>
      <w:r>
        <w:rPr>
          <w:rFonts w:hint="eastAsia" w:ascii="宋体" w:hAnsi="宋体"/>
          <w:szCs w:val="21"/>
        </w:rPr>
        <w:t>4、金属线槽安装质量要求：</w:t>
      </w:r>
    </w:p>
    <w:p>
      <w:pPr>
        <w:spacing w:line="360" w:lineRule="auto"/>
        <w:ind w:firstLine="437"/>
        <w:rPr>
          <w:rFonts w:ascii="宋体" w:hAnsi="宋体"/>
          <w:szCs w:val="21"/>
        </w:rPr>
      </w:pPr>
      <w:r>
        <w:rPr>
          <w:rFonts w:hint="eastAsia" w:ascii="宋体" w:hAnsi="宋体"/>
          <w:szCs w:val="21"/>
        </w:rPr>
        <w:t>⑴ 金属线槽必须接地（PE）或接零（PEN）可靠，并符合下列规定：</w:t>
      </w:r>
    </w:p>
    <w:p>
      <w:pPr>
        <w:spacing w:line="360" w:lineRule="auto"/>
        <w:ind w:firstLine="437"/>
        <w:rPr>
          <w:rFonts w:ascii="宋体" w:hAnsi="宋体"/>
          <w:szCs w:val="21"/>
        </w:rPr>
      </w:pPr>
      <w:r>
        <w:rPr>
          <w:rFonts w:hint="eastAsia" w:ascii="宋体" w:hAnsi="宋体"/>
          <w:szCs w:val="21"/>
        </w:rPr>
        <w:t>① 金属线槽不作设备的接地导体，当设计无要求时，金属线槽全长不少于两处与接地（PE）或接零（PEN）干线连接，且每30m接地（PE）一次。</w:t>
      </w:r>
    </w:p>
    <w:p>
      <w:pPr>
        <w:spacing w:line="360" w:lineRule="auto"/>
        <w:ind w:firstLine="437"/>
        <w:rPr>
          <w:rFonts w:ascii="宋体" w:hAnsi="宋体"/>
          <w:szCs w:val="21"/>
        </w:rPr>
      </w:pPr>
      <w:r>
        <w:rPr>
          <w:rFonts w:hint="eastAsia" w:ascii="宋体" w:hAnsi="宋体"/>
          <w:szCs w:val="21"/>
        </w:rPr>
        <w:t>② 镀锌线槽间连接板的两端不跨接接地线，但连接板两端不少于2个有防松螺帽或防松垫圈的连接固定螺栓。</w:t>
      </w:r>
    </w:p>
    <w:p>
      <w:pPr>
        <w:spacing w:line="360" w:lineRule="auto"/>
        <w:ind w:firstLine="437"/>
        <w:rPr>
          <w:rFonts w:ascii="宋体" w:hAnsi="宋体"/>
          <w:szCs w:val="21"/>
        </w:rPr>
      </w:pPr>
      <w:r>
        <w:rPr>
          <w:rFonts w:hint="eastAsia" w:ascii="宋体" w:hAnsi="宋体"/>
          <w:szCs w:val="21"/>
        </w:rPr>
        <w:t>⑵ 线槽敷设应平直、整齐，连接应连接无间断，安装应牢固，无扭曲变形，紧固件的螺母应在线槽外侧。每节槽的固定点不应少于两个，在转角、分支和端部均应有固定点。</w:t>
      </w:r>
    </w:p>
    <w:p>
      <w:pPr>
        <w:spacing w:line="360" w:lineRule="auto"/>
        <w:ind w:firstLine="437"/>
        <w:rPr>
          <w:rFonts w:ascii="宋体" w:hAnsi="宋体"/>
          <w:szCs w:val="21"/>
        </w:rPr>
      </w:pPr>
      <w:r>
        <w:rPr>
          <w:rFonts w:hint="eastAsia" w:ascii="宋体" w:hAnsi="宋体"/>
          <w:szCs w:val="21"/>
        </w:rPr>
        <w:t>⑶ 线槽在建筑物变形缝处应设补偿装置。</w:t>
      </w:r>
    </w:p>
    <w:p>
      <w:pPr>
        <w:spacing w:line="360" w:lineRule="auto"/>
        <w:ind w:firstLine="437"/>
        <w:rPr>
          <w:rFonts w:ascii="宋体" w:hAnsi="宋体"/>
          <w:szCs w:val="21"/>
        </w:rPr>
      </w:pPr>
      <w:r>
        <w:rPr>
          <w:rFonts w:hint="eastAsia" w:ascii="宋体" w:hAnsi="宋体"/>
          <w:szCs w:val="21"/>
        </w:rPr>
        <w:t>5、线槽敷线质量要求：</w:t>
      </w:r>
    </w:p>
    <w:p>
      <w:pPr>
        <w:spacing w:line="360" w:lineRule="auto"/>
        <w:ind w:firstLine="437"/>
        <w:rPr>
          <w:rFonts w:ascii="宋体" w:hAnsi="宋体"/>
          <w:szCs w:val="21"/>
        </w:rPr>
      </w:pPr>
      <w:r>
        <w:rPr>
          <w:rFonts w:hint="eastAsia" w:ascii="宋体" w:hAnsi="宋体"/>
          <w:szCs w:val="21"/>
        </w:rPr>
        <w:t>⑴ 电线在线槽内有一定余量，不得有接头。电线按回路编号分段绑扎，绑扎点间距不应大于2m。</w:t>
      </w:r>
    </w:p>
    <w:p>
      <w:pPr>
        <w:spacing w:line="360" w:lineRule="auto"/>
        <w:ind w:firstLine="437"/>
        <w:rPr>
          <w:rFonts w:ascii="宋体" w:hAnsi="宋体"/>
          <w:szCs w:val="21"/>
        </w:rPr>
      </w:pPr>
      <w:r>
        <w:rPr>
          <w:rFonts w:hint="eastAsia" w:ascii="宋体" w:hAnsi="宋体"/>
          <w:szCs w:val="21"/>
        </w:rPr>
        <w:t>⑵ 同一回路相线、零线敷设于同一线槽内。</w:t>
      </w:r>
    </w:p>
    <w:p>
      <w:pPr>
        <w:spacing w:line="360" w:lineRule="auto"/>
        <w:ind w:firstLine="437"/>
        <w:rPr>
          <w:rFonts w:ascii="宋体" w:hAnsi="宋体"/>
          <w:szCs w:val="21"/>
        </w:rPr>
      </w:pPr>
      <w:r>
        <w:rPr>
          <w:rFonts w:hint="eastAsia" w:ascii="宋体" w:hAnsi="宋体"/>
          <w:szCs w:val="21"/>
        </w:rPr>
        <w:t>⑶ 同一电源的不同回路，无抗干扰要求的线路可敷设于同一线槽内，敷设于同一线槽内有抗干扰要求的线路用隔板隔离，或采用屏蔽电线且屏蔽护套一端接地。</w:t>
      </w:r>
    </w:p>
    <w:p>
      <w:pPr>
        <w:spacing w:line="360" w:lineRule="auto"/>
        <w:ind w:firstLine="437"/>
        <w:rPr>
          <w:rFonts w:ascii="宋体" w:hAnsi="宋体"/>
          <w:szCs w:val="21"/>
        </w:rPr>
      </w:pPr>
    </w:p>
    <w:p>
      <w:pPr>
        <w:spacing w:line="360" w:lineRule="auto"/>
        <w:ind w:firstLine="437"/>
        <w:rPr>
          <w:rFonts w:ascii="宋体" w:hAnsi="宋体"/>
          <w:szCs w:val="21"/>
        </w:rPr>
      </w:pPr>
      <w:r>
        <w:rPr>
          <w:rFonts w:hint="eastAsia" w:ascii="宋体" w:hAnsi="宋体"/>
          <w:szCs w:val="21"/>
        </w:rPr>
        <w:t>三、电缆线路</w:t>
      </w:r>
    </w:p>
    <w:p>
      <w:pPr>
        <w:spacing w:line="360" w:lineRule="auto"/>
        <w:ind w:firstLine="437"/>
        <w:rPr>
          <w:rFonts w:ascii="宋体" w:hAnsi="宋体"/>
          <w:szCs w:val="21"/>
        </w:rPr>
      </w:pPr>
      <w:r>
        <w:rPr>
          <w:rFonts w:hint="eastAsia" w:ascii="宋体" w:hAnsi="宋体"/>
          <w:szCs w:val="21"/>
        </w:rPr>
        <w:t>1、电缆线路施工应按已批准的设计图纸要求施工，电缆型号、规格应符合设计要求，所用的材料：电缆桥架、托架、电缆、电缆头部件及接线端子应符合设计要求和国家相关标准的规定，详见附表《电气工程材料、设备技术要求表》。</w:t>
      </w:r>
    </w:p>
    <w:p>
      <w:pPr>
        <w:spacing w:line="360" w:lineRule="auto"/>
        <w:ind w:firstLine="437"/>
        <w:rPr>
          <w:rFonts w:ascii="宋体" w:hAnsi="宋体"/>
          <w:szCs w:val="21"/>
        </w:rPr>
      </w:pPr>
      <w:r>
        <w:rPr>
          <w:rFonts w:hint="eastAsia" w:ascii="宋体" w:hAnsi="宋体"/>
          <w:szCs w:val="21"/>
        </w:rPr>
        <w:t>2、施工中的安全技术措施应符合国家有关规范和现行有关安全技术标准及产品的技术文件的规定。</w:t>
      </w:r>
    </w:p>
    <w:p>
      <w:pPr>
        <w:spacing w:line="360" w:lineRule="auto"/>
        <w:ind w:firstLine="437"/>
        <w:rPr>
          <w:rFonts w:ascii="宋体" w:hAnsi="宋体"/>
          <w:szCs w:val="21"/>
        </w:rPr>
      </w:pPr>
      <w:r>
        <w:rPr>
          <w:rFonts w:hint="eastAsia" w:ascii="宋体" w:hAnsi="宋体"/>
          <w:szCs w:val="21"/>
        </w:rPr>
        <w:t>3、电缆及其附件安装用的钢制紧固件，除地脚螺栓外，应用热镀锌制品。 地下室所有明敷线管、线槽、桥架及其支吊架应按设计要求做防腐处理, 所有支吊架采用热镀锌制品。</w:t>
      </w:r>
    </w:p>
    <w:p>
      <w:pPr>
        <w:spacing w:line="360" w:lineRule="auto"/>
        <w:ind w:firstLine="437"/>
        <w:rPr>
          <w:rFonts w:ascii="宋体" w:hAnsi="宋体"/>
          <w:szCs w:val="21"/>
        </w:rPr>
      </w:pPr>
      <w:r>
        <w:rPr>
          <w:rFonts w:hint="eastAsia" w:ascii="宋体" w:hAnsi="宋体"/>
          <w:szCs w:val="21"/>
        </w:rPr>
        <w:t>4、金属电缆桥架安装和桥架内电缆敷设：</w:t>
      </w:r>
    </w:p>
    <w:p>
      <w:pPr>
        <w:spacing w:line="360" w:lineRule="auto"/>
        <w:ind w:firstLine="437"/>
        <w:rPr>
          <w:rFonts w:ascii="宋体" w:hAnsi="宋体"/>
          <w:szCs w:val="21"/>
        </w:rPr>
      </w:pPr>
      <w:r>
        <w:rPr>
          <w:rFonts w:hint="eastAsia" w:ascii="宋体" w:hAnsi="宋体"/>
          <w:szCs w:val="21"/>
        </w:rPr>
        <w:t>⑴ 金属电缆桥架及其支架和引入或引出的金属电缆导管必须接地（PE）或接零（</w:t>
      </w:r>
      <w:r>
        <w:rPr>
          <w:rFonts w:ascii="宋体" w:hAnsi="宋体"/>
          <w:szCs w:val="21"/>
        </w:rPr>
        <w:t>PEN）</w:t>
      </w:r>
      <w:r>
        <w:rPr>
          <w:rFonts w:hint="eastAsia" w:ascii="宋体" w:hAnsi="宋体"/>
          <w:szCs w:val="21"/>
        </w:rPr>
        <w:t>可靠，且必须符合下列规定：</w:t>
      </w:r>
    </w:p>
    <w:p>
      <w:pPr>
        <w:spacing w:line="360" w:lineRule="auto"/>
        <w:ind w:firstLine="437"/>
        <w:rPr>
          <w:rFonts w:ascii="宋体" w:hAnsi="宋体"/>
          <w:szCs w:val="21"/>
        </w:rPr>
      </w:pPr>
      <w:r>
        <w:rPr>
          <w:rFonts w:hint="eastAsia" w:ascii="宋体" w:hAnsi="宋体"/>
          <w:szCs w:val="21"/>
        </w:rPr>
        <w:t>① 金属电缆桥架及其支架全长应不少于2处与接地（PE）或接零（PEN）干线相连，且每30m接地（PE）一次。</w:t>
      </w:r>
    </w:p>
    <w:p>
      <w:pPr>
        <w:spacing w:line="360" w:lineRule="auto"/>
        <w:ind w:firstLine="437"/>
        <w:rPr>
          <w:rFonts w:ascii="宋体" w:hAnsi="宋体"/>
          <w:szCs w:val="21"/>
        </w:rPr>
      </w:pPr>
      <w:r>
        <w:rPr>
          <w:rFonts w:hint="eastAsia" w:ascii="宋体" w:hAnsi="宋体"/>
          <w:szCs w:val="21"/>
        </w:rPr>
        <w:t>② 镀锌电缆桥架间连接板的两端跨接接地线，但连接板两端不少于2个防松螺帽或防松垫圈的连接固定螺栓。</w:t>
      </w:r>
    </w:p>
    <w:p>
      <w:pPr>
        <w:spacing w:line="360" w:lineRule="auto"/>
        <w:ind w:firstLine="437"/>
        <w:rPr>
          <w:rFonts w:ascii="宋体" w:hAnsi="宋体"/>
          <w:szCs w:val="21"/>
        </w:rPr>
      </w:pPr>
      <w:r>
        <w:rPr>
          <w:rFonts w:hint="eastAsia" w:ascii="宋体" w:hAnsi="宋体"/>
          <w:szCs w:val="21"/>
        </w:rPr>
        <w:t>⑵ 直线段钢制电缆桥架超过30m，设有伸缩节；电缆桥架跨越建筑物变形缝处设补偿装置。</w:t>
      </w:r>
    </w:p>
    <w:p>
      <w:pPr>
        <w:spacing w:line="360" w:lineRule="auto"/>
        <w:ind w:firstLine="437"/>
        <w:rPr>
          <w:rFonts w:ascii="宋体" w:hAnsi="宋体"/>
          <w:szCs w:val="21"/>
        </w:rPr>
      </w:pPr>
      <w:r>
        <w:rPr>
          <w:rFonts w:hint="eastAsia" w:ascii="宋体" w:hAnsi="宋体"/>
          <w:szCs w:val="21"/>
        </w:rPr>
        <w:t>⑶ 电缆桥架转弯处的弯曲半径不小于桥架内最大截面电缆的最小允许弯曲半径。</w:t>
      </w:r>
    </w:p>
    <w:p>
      <w:pPr>
        <w:spacing w:line="360" w:lineRule="auto"/>
        <w:ind w:firstLine="437"/>
        <w:rPr>
          <w:rFonts w:ascii="宋体" w:hAnsi="宋体"/>
          <w:szCs w:val="21"/>
        </w:rPr>
      </w:pPr>
      <w:r>
        <w:rPr>
          <w:rFonts w:hint="eastAsia" w:ascii="宋体" w:hAnsi="宋体"/>
          <w:szCs w:val="21"/>
        </w:rPr>
        <w:t>⑷ 电缆桥架水平安装的支架间距为1.5～3m；垂直安装的支架间距不大于2m。</w:t>
      </w:r>
    </w:p>
    <w:p>
      <w:pPr>
        <w:spacing w:line="360" w:lineRule="auto"/>
        <w:ind w:firstLine="437"/>
        <w:rPr>
          <w:rFonts w:ascii="宋体" w:hAnsi="宋体"/>
          <w:szCs w:val="21"/>
        </w:rPr>
      </w:pPr>
      <w:r>
        <w:rPr>
          <w:rFonts w:hint="eastAsia" w:ascii="宋体" w:hAnsi="宋体"/>
          <w:szCs w:val="21"/>
        </w:rPr>
        <w:t>⑸ 电缆桥架敷设在易燃易爆气体管道和热水管道的下方，与管道的最小净距符合相关规范规定。</w:t>
      </w:r>
    </w:p>
    <w:p>
      <w:pPr>
        <w:spacing w:line="360" w:lineRule="auto"/>
        <w:ind w:firstLine="437"/>
        <w:rPr>
          <w:rFonts w:ascii="宋体" w:hAnsi="宋体"/>
          <w:szCs w:val="21"/>
        </w:rPr>
      </w:pPr>
      <w:r>
        <w:rPr>
          <w:rFonts w:hint="eastAsia" w:ascii="宋体" w:hAnsi="宋体"/>
          <w:szCs w:val="21"/>
        </w:rPr>
        <w:t>⑹ 敷设在竖井内和穿越不同防火分区的桥架，按设计要求位置，有防火隔堵措施。</w:t>
      </w:r>
    </w:p>
    <w:p>
      <w:pPr>
        <w:spacing w:line="360" w:lineRule="auto"/>
        <w:ind w:firstLine="437"/>
        <w:rPr>
          <w:rFonts w:ascii="宋体" w:hAnsi="宋体"/>
          <w:szCs w:val="21"/>
        </w:rPr>
      </w:pPr>
      <w:r>
        <w:rPr>
          <w:rFonts w:hint="eastAsia" w:ascii="宋体" w:hAnsi="宋体"/>
          <w:szCs w:val="21"/>
        </w:rPr>
        <w:t>（7）对强、弱电桥架的公用支、吊架进行优化，使桥架的综合布置有序、美观，桥架弯头应采用弧形（无弯折）。</w:t>
      </w:r>
    </w:p>
    <w:p>
      <w:pPr>
        <w:spacing w:line="360" w:lineRule="auto"/>
        <w:ind w:firstLine="437"/>
        <w:rPr>
          <w:rFonts w:ascii="宋体" w:hAnsi="宋体"/>
          <w:szCs w:val="21"/>
        </w:rPr>
      </w:pPr>
      <w:r>
        <w:rPr>
          <w:rFonts w:hint="eastAsia" w:ascii="宋体" w:hAnsi="宋体"/>
          <w:szCs w:val="21"/>
        </w:rPr>
        <w:t>5、桥架内电缆的敷设应符合下列要求</w:t>
      </w:r>
    </w:p>
    <w:p>
      <w:pPr>
        <w:spacing w:line="360" w:lineRule="auto"/>
        <w:ind w:firstLine="437"/>
        <w:rPr>
          <w:rFonts w:ascii="宋体" w:hAnsi="宋体"/>
          <w:szCs w:val="21"/>
        </w:rPr>
      </w:pPr>
      <w:r>
        <w:rPr>
          <w:rFonts w:hint="eastAsia" w:ascii="宋体" w:hAnsi="宋体"/>
          <w:szCs w:val="21"/>
        </w:rPr>
        <w:t>⑴ 电缆敷设严禁有绞拧、铠装压扁、护层断裂和表面严等缺陷。电缆最小允许弯曲半径应符合规范要求。</w:t>
      </w:r>
    </w:p>
    <w:p>
      <w:pPr>
        <w:spacing w:line="360" w:lineRule="auto"/>
        <w:ind w:firstLine="437"/>
        <w:rPr>
          <w:rFonts w:ascii="宋体" w:hAnsi="宋体"/>
          <w:szCs w:val="21"/>
        </w:rPr>
      </w:pPr>
      <w:r>
        <w:rPr>
          <w:rFonts w:hint="eastAsia" w:ascii="宋体" w:hAnsi="宋体"/>
          <w:szCs w:val="21"/>
        </w:rPr>
        <w:t>⑵ 大于45</w:t>
      </w:r>
      <w:r>
        <w:rPr>
          <w:rFonts w:hint="eastAsia" w:ascii="宋体" w:hAnsi="宋体"/>
          <w:szCs w:val="21"/>
          <w:vertAlign w:val="superscript"/>
        </w:rPr>
        <w:t>0</w:t>
      </w:r>
      <w:r>
        <w:rPr>
          <w:rFonts w:hint="eastAsia" w:ascii="宋体" w:hAnsi="宋体"/>
          <w:szCs w:val="21"/>
        </w:rPr>
        <w:t>倾斜敷设的电缆每隔2m处设固定点</w:t>
      </w:r>
    </w:p>
    <w:p>
      <w:pPr>
        <w:spacing w:line="360" w:lineRule="auto"/>
        <w:ind w:firstLine="437"/>
        <w:rPr>
          <w:rFonts w:ascii="宋体" w:hAnsi="宋体"/>
          <w:szCs w:val="21"/>
        </w:rPr>
      </w:pPr>
      <w:r>
        <w:rPr>
          <w:rFonts w:hint="eastAsia" w:ascii="宋体" w:hAnsi="宋体"/>
          <w:szCs w:val="21"/>
        </w:rPr>
        <w:t>⑶ 电缆出入电缆沟、竖井、建筑物、柜（盘）、台处及管子管口处做密封处理。</w:t>
      </w:r>
    </w:p>
    <w:p>
      <w:pPr>
        <w:spacing w:line="360" w:lineRule="auto"/>
        <w:ind w:firstLine="437"/>
        <w:rPr>
          <w:rFonts w:ascii="宋体" w:hAnsi="宋体"/>
          <w:szCs w:val="21"/>
        </w:rPr>
      </w:pPr>
      <w:r>
        <w:rPr>
          <w:rFonts w:hint="eastAsia" w:ascii="宋体" w:hAnsi="宋体"/>
          <w:szCs w:val="21"/>
        </w:rPr>
        <w:t>⑷ 电缆排列整齐，水平敷设的电缆首层两端、转弯两侧及每隔5～10m处设固定点，敷设于垂直桥架内的电缆固定间距应符合相关规定。</w:t>
      </w:r>
    </w:p>
    <w:p>
      <w:pPr>
        <w:spacing w:line="360" w:lineRule="auto"/>
        <w:ind w:firstLine="437"/>
        <w:rPr>
          <w:rFonts w:ascii="宋体" w:hAnsi="宋体"/>
          <w:szCs w:val="21"/>
        </w:rPr>
      </w:pPr>
      <w:r>
        <w:rPr>
          <w:rFonts w:hint="eastAsia" w:ascii="宋体" w:hAnsi="宋体"/>
          <w:szCs w:val="21"/>
        </w:rPr>
        <w:t>6、电缆的首端、末端和分支处应设标志牌。</w:t>
      </w:r>
    </w:p>
    <w:p>
      <w:pPr>
        <w:spacing w:line="360" w:lineRule="auto"/>
        <w:ind w:firstLine="437"/>
        <w:rPr>
          <w:rFonts w:ascii="宋体" w:hAnsi="宋体"/>
          <w:szCs w:val="21"/>
        </w:rPr>
      </w:pPr>
      <w:r>
        <w:rPr>
          <w:rFonts w:hint="eastAsia" w:ascii="宋体" w:hAnsi="宋体"/>
          <w:szCs w:val="21"/>
        </w:rPr>
        <w:t>7、电缆头制作、接线和线路绝缘测试：</w:t>
      </w:r>
    </w:p>
    <w:p>
      <w:pPr>
        <w:spacing w:line="360" w:lineRule="auto"/>
        <w:ind w:firstLine="437"/>
        <w:rPr>
          <w:rFonts w:ascii="宋体" w:hAnsi="宋体"/>
          <w:szCs w:val="21"/>
        </w:rPr>
      </w:pPr>
      <w:r>
        <w:rPr>
          <w:rFonts w:hint="eastAsia" w:ascii="宋体" w:hAnsi="宋体"/>
          <w:szCs w:val="21"/>
        </w:rPr>
        <w:t>⑴ 低压电缆、相间和相对地间的绝缘电阻必须大于0.5MΩ。</w:t>
      </w:r>
    </w:p>
    <w:p>
      <w:pPr>
        <w:spacing w:line="360" w:lineRule="auto"/>
        <w:ind w:firstLine="437"/>
        <w:rPr>
          <w:rFonts w:ascii="宋体" w:hAnsi="宋体"/>
          <w:szCs w:val="21"/>
        </w:rPr>
      </w:pPr>
      <w:r>
        <w:rPr>
          <w:rFonts w:hint="eastAsia" w:ascii="宋体" w:hAnsi="宋体"/>
          <w:szCs w:val="21"/>
        </w:rPr>
        <w:t>⑵ 电缆接线必须准确，并联运行电缆的型号、规格、长度、相序应一致。</w:t>
      </w:r>
    </w:p>
    <w:p>
      <w:pPr>
        <w:spacing w:line="360" w:lineRule="auto"/>
        <w:ind w:firstLine="437"/>
        <w:rPr>
          <w:rFonts w:ascii="宋体" w:hAnsi="宋体"/>
          <w:szCs w:val="21"/>
        </w:rPr>
      </w:pPr>
      <w:r>
        <w:rPr>
          <w:rFonts w:hint="eastAsia" w:ascii="宋体" w:hAnsi="宋体"/>
          <w:szCs w:val="21"/>
        </w:rPr>
        <w:t>⑶ 电缆芯线与电器设备的连接应符合下列规定：</w:t>
      </w:r>
    </w:p>
    <w:p>
      <w:pPr>
        <w:spacing w:line="360" w:lineRule="auto"/>
        <w:ind w:firstLine="437"/>
        <w:rPr>
          <w:rFonts w:ascii="宋体" w:hAnsi="宋体"/>
          <w:szCs w:val="21"/>
        </w:rPr>
      </w:pPr>
      <w:r>
        <w:rPr>
          <w:rFonts w:hint="eastAsia" w:ascii="宋体" w:hAnsi="宋体"/>
          <w:szCs w:val="21"/>
        </w:rPr>
        <w:t>① 截面积在10mm2以下的单股铜芯线直接与设备、器具端子连接。</w:t>
      </w:r>
    </w:p>
    <w:p>
      <w:pPr>
        <w:spacing w:line="360" w:lineRule="auto"/>
        <w:ind w:firstLine="437"/>
        <w:rPr>
          <w:rFonts w:ascii="宋体" w:hAnsi="宋体"/>
          <w:szCs w:val="21"/>
        </w:rPr>
      </w:pPr>
      <w:r>
        <w:rPr>
          <w:rFonts w:hint="eastAsia" w:ascii="宋体" w:hAnsi="宋体"/>
          <w:szCs w:val="21"/>
        </w:rPr>
        <w:t>② 截面积在2.5mm2及以下的多股铜芯线拧紧搪锡或接续端子后与设备、器具的端子连接。</w:t>
      </w:r>
    </w:p>
    <w:p>
      <w:pPr>
        <w:spacing w:line="360" w:lineRule="auto"/>
        <w:ind w:firstLine="437"/>
        <w:rPr>
          <w:rFonts w:ascii="宋体" w:hAnsi="宋体"/>
          <w:szCs w:val="21"/>
        </w:rPr>
      </w:pPr>
      <w:r>
        <w:rPr>
          <w:rFonts w:hint="eastAsia" w:ascii="宋体" w:hAnsi="宋体"/>
          <w:szCs w:val="21"/>
        </w:rPr>
        <w:t>③ 截面积大于2.5mm2的多股铜芯线，除设备自带插接式端子外，压接端子后与设备或器具的端子连接；多股铜芯线与插接端子连接前端都拧紧搪锡。</w:t>
      </w:r>
    </w:p>
    <w:p>
      <w:pPr>
        <w:spacing w:line="360" w:lineRule="auto"/>
        <w:ind w:firstLine="437"/>
        <w:rPr>
          <w:rFonts w:ascii="宋体" w:hAnsi="宋体"/>
          <w:szCs w:val="21"/>
        </w:rPr>
      </w:pPr>
      <w:r>
        <w:rPr>
          <w:rFonts w:hint="eastAsia" w:ascii="宋体" w:hAnsi="宋体"/>
          <w:szCs w:val="21"/>
        </w:rPr>
        <w:t>④ 设备和器件的每个端子接线不多于2根电线。</w:t>
      </w:r>
    </w:p>
    <w:p>
      <w:pPr>
        <w:spacing w:line="360" w:lineRule="auto"/>
        <w:ind w:firstLine="437"/>
        <w:rPr>
          <w:rFonts w:ascii="宋体" w:hAnsi="宋体"/>
          <w:szCs w:val="21"/>
        </w:rPr>
      </w:pPr>
      <w:r>
        <w:rPr>
          <w:rFonts w:hint="eastAsia" w:ascii="宋体" w:hAnsi="宋体"/>
          <w:szCs w:val="21"/>
        </w:rPr>
        <w:t>⑷ 电线电缆的芯线连接金具（连接管和端子）规格应与芯线的规格适配且不得采用开口端子。</w:t>
      </w:r>
    </w:p>
    <w:p>
      <w:pPr>
        <w:spacing w:line="360" w:lineRule="auto"/>
        <w:ind w:firstLine="437"/>
        <w:rPr>
          <w:rFonts w:ascii="宋体" w:hAnsi="宋体"/>
          <w:szCs w:val="21"/>
        </w:rPr>
      </w:pPr>
      <w:r>
        <w:rPr>
          <w:rFonts w:hint="eastAsia" w:ascii="宋体" w:hAnsi="宋体"/>
          <w:szCs w:val="21"/>
        </w:rPr>
        <w:t>⑸ 电线、电缆的回路标志应清晰，编号准确。</w:t>
      </w:r>
    </w:p>
    <w:p>
      <w:pPr>
        <w:pStyle w:val="4"/>
        <w:numPr>
          <w:ilvl w:val="2"/>
          <w:numId w:val="0"/>
        </w:numPr>
        <w:rPr>
          <w:rFonts w:ascii="Times New Roman" w:hAnsi="Times New Roman"/>
          <w:sz w:val="21"/>
          <w:szCs w:val="21"/>
        </w:rPr>
      </w:pPr>
    </w:p>
    <w:p>
      <w:pPr>
        <w:pStyle w:val="4"/>
        <w:numPr>
          <w:ilvl w:val="2"/>
          <w:numId w:val="0"/>
        </w:numPr>
        <w:jc w:val="center"/>
        <w:rPr>
          <w:rFonts w:ascii="黑体" w:eastAsia="黑体"/>
          <w:b/>
          <w:sz w:val="21"/>
          <w:szCs w:val="21"/>
        </w:rPr>
      </w:pPr>
      <w:r>
        <w:rPr>
          <w:rFonts w:hint="eastAsia" w:ascii="黑体" w:eastAsia="黑体"/>
          <w:sz w:val="21"/>
          <w:szCs w:val="21"/>
        </w:rPr>
        <w:t>第二节   照明系统</w:t>
      </w:r>
    </w:p>
    <w:p>
      <w:pPr>
        <w:spacing w:line="360" w:lineRule="auto"/>
        <w:ind w:firstLine="437"/>
        <w:rPr>
          <w:rFonts w:ascii="宋体" w:hAnsi="宋体"/>
          <w:szCs w:val="21"/>
        </w:rPr>
      </w:pPr>
      <w:r>
        <w:rPr>
          <w:rFonts w:hint="eastAsia" w:ascii="宋体" w:hAnsi="宋体"/>
          <w:szCs w:val="21"/>
        </w:rPr>
        <w:t>一、照明灯具</w:t>
      </w:r>
      <w:r>
        <w:rPr>
          <w:rFonts w:ascii="宋体" w:hAnsi="宋体"/>
          <w:szCs w:val="21"/>
        </w:rPr>
        <w:tab/>
      </w:r>
    </w:p>
    <w:p>
      <w:pPr>
        <w:spacing w:line="360" w:lineRule="auto"/>
        <w:ind w:firstLine="437"/>
        <w:rPr>
          <w:rFonts w:ascii="宋体" w:hAnsi="宋体"/>
          <w:szCs w:val="21"/>
        </w:rPr>
      </w:pPr>
      <w:r>
        <w:rPr>
          <w:rFonts w:hint="eastAsia" w:ascii="宋体" w:hAnsi="宋体"/>
          <w:szCs w:val="21"/>
        </w:rPr>
        <w:t>1、照明灯具的安装必须符合施工图设计要求，灯具及其附件的规格、型号必须符合设计要求和国家相关标准的规定，详见附表《电气工程材料、设备技术要求表》。</w:t>
      </w:r>
    </w:p>
    <w:p>
      <w:pPr>
        <w:spacing w:line="360" w:lineRule="auto"/>
        <w:ind w:firstLine="437"/>
        <w:rPr>
          <w:rFonts w:ascii="宋体" w:hAnsi="宋体"/>
          <w:szCs w:val="21"/>
        </w:rPr>
      </w:pPr>
      <w:r>
        <w:rPr>
          <w:rFonts w:hint="eastAsia" w:ascii="宋体" w:hAnsi="宋体"/>
          <w:szCs w:val="21"/>
        </w:rPr>
        <w:t>2、施工中的安全技术措施应符合国家有关规定和现行有关安全技术标准及产品的技术资料规定。</w:t>
      </w:r>
    </w:p>
    <w:p>
      <w:pPr>
        <w:spacing w:line="360" w:lineRule="auto"/>
        <w:ind w:firstLine="437"/>
        <w:rPr>
          <w:rFonts w:ascii="宋体" w:hAnsi="宋体"/>
          <w:szCs w:val="21"/>
        </w:rPr>
      </w:pPr>
      <w:r>
        <w:rPr>
          <w:rFonts w:hint="eastAsia" w:ascii="宋体" w:hAnsi="宋体"/>
          <w:szCs w:val="21"/>
        </w:rPr>
        <w:t>3、普通灯具的安装</w:t>
      </w:r>
    </w:p>
    <w:p>
      <w:pPr>
        <w:spacing w:line="360" w:lineRule="auto"/>
        <w:ind w:firstLine="437"/>
        <w:rPr>
          <w:rFonts w:ascii="宋体" w:hAnsi="宋体"/>
          <w:szCs w:val="21"/>
        </w:rPr>
      </w:pPr>
      <w:r>
        <w:rPr>
          <w:rFonts w:hint="eastAsia" w:ascii="宋体" w:hAnsi="宋体"/>
          <w:szCs w:val="21"/>
        </w:rPr>
        <w:t>⑴ 灯具的固定应符合下列规定：</w:t>
      </w:r>
    </w:p>
    <w:p>
      <w:pPr>
        <w:spacing w:line="360" w:lineRule="auto"/>
        <w:ind w:firstLine="437"/>
        <w:rPr>
          <w:rFonts w:ascii="宋体" w:hAnsi="宋体"/>
          <w:szCs w:val="21"/>
        </w:rPr>
      </w:pPr>
      <w:r>
        <w:rPr>
          <w:rFonts w:hint="eastAsia" w:ascii="宋体" w:hAnsi="宋体"/>
          <w:szCs w:val="21"/>
        </w:rPr>
        <w:t>① 灯具的重量大于3kg时，固定在螺栓或预埋吊钩上。</w:t>
      </w:r>
    </w:p>
    <w:p>
      <w:pPr>
        <w:spacing w:line="360" w:lineRule="auto"/>
        <w:ind w:firstLine="437"/>
        <w:rPr>
          <w:rFonts w:ascii="宋体" w:hAnsi="宋体"/>
          <w:szCs w:val="21"/>
        </w:rPr>
      </w:pPr>
      <w:r>
        <w:rPr>
          <w:rFonts w:hint="eastAsia" w:ascii="宋体" w:hAnsi="宋体"/>
          <w:szCs w:val="21"/>
        </w:rPr>
        <w:t>② 灯具固定牢固可靠，不使用木楔。每个灯具固定用螺钉或螺栓不少于2个，当绝缘台直径在75mm及以下时，采用一个螺钉或螺栓固定。</w:t>
      </w:r>
    </w:p>
    <w:p>
      <w:pPr>
        <w:spacing w:line="360" w:lineRule="auto"/>
        <w:ind w:firstLine="437"/>
        <w:rPr>
          <w:rFonts w:ascii="宋体" w:hAnsi="宋体"/>
          <w:szCs w:val="21"/>
        </w:rPr>
      </w:pPr>
      <w:r>
        <w:rPr>
          <w:rFonts w:hint="eastAsia" w:ascii="宋体" w:hAnsi="宋体"/>
          <w:szCs w:val="21"/>
        </w:rPr>
        <w:t>⑵ 花灯吊钩园钢直径不应小于灯具挂销直径，且不应小于6mm；大型花灯的固定及悬吊装置应按灯具重量的2倍做过载试验。</w:t>
      </w:r>
    </w:p>
    <w:p>
      <w:pPr>
        <w:spacing w:line="360" w:lineRule="auto"/>
        <w:ind w:firstLine="437"/>
        <w:rPr>
          <w:rFonts w:ascii="宋体" w:hAnsi="宋体"/>
          <w:szCs w:val="21"/>
        </w:rPr>
      </w:pPr>
      <w:r>
        <w:rPr>
          <w:rFonts w:hint="eastAsia" w:ascii="宋体" w:hAnsi="宋体"/>
          <w:szCs w:val="21"/>
        </w:rPr>
        <w:t>⑶ 当钢管做灯杆时，钢管内径不应小于10mm，钢管厚度不应小于1.5mm。</w:t>
      </w:r>
    </w:p>
    <w:p>
      <w:pPr>
        <w:spacing w:line="360" w:lineRule="auto"/>
        <w:ind w:firstLine="437"/>
        <w:rPr>
          <w:rFonts w:ascii="宋体" w:hAnsi="宋体"/>
          <w:szCs w:val="21"/>
        </w:rPr>
      </w:pPr>
      <w:r>
        <w:rPr>
          <w:rFonts w:hint="eastAsia" w:ascii="宋体" w:hAnsi="宋体"/>
          <w:szCs w:val="21"/>
        </w:rPr>
        <w:t>⑷ 固定灯具带电部件的绝缘材料以及提供防触电保护的绝缘材料应耐燃烧和防明火。</w:t>
      </w:r>
    </w:p>
    <w:p>
      <w:pPr>
        <w:spacing w:line="360" w:lineRule="auto"/>
        <w:ind w:firstLine="437"/>
        <w:rPr>
          <w:rFonts w:ascii="宋体" w:hAnsi="宋体"/>
          <w:szCs w:val="21"/>
        </w:rPr>
      </w:pPr>
      <w:r>
        <w:rPr>
          <w:rFonts w:hint="eastAsia" w:ascii="宋体" w:hAnsi="宋体"/>
          <w:szCs w:val="21"/>
        </w:rPr>
        <w:t>⑸ 当灯具距地面高度小于2.4m时，灯具的可接近裸露导体必须接地（PE）或零（PEN）可靠，并应有专用接地螺栓，且有标识。引向每个灯具的导线线芯最小截面应符合规范要求。</w:t>
      </w:r>
    </w:p>
    <w:p>
      <w:pPr>
        <w:spacing w:line="360" w:lineRule="auto"/>
        <w:ind w:firstLine="437"/>
        <w:rPr>
          <w:rFonts w:ascii="宋体" w:hAnsi="宋体"/>
          <w:szCs w:val="21"/>
        </w:rPr>
      </w:pPr>
      <w:r>
        <w:rPr>
          <w:rFonts w:hint="eastAsia" w:ascii="宋体" w:hAnsi="宋体"/>
          <w:szCs w:val="21"/>
        </w:rPr>
        <w:t>⑹ 灯具的安装高度按设计要求进行。</w:t>
      </w:r>
    </w:p>
    <w:p>
      <w:pPr>
        <w:spacing w:line="360" w:lineRule="auto"/>
        <w:ind w:firstLine="437"/>
        <w:rPr>
          <w:rFonts w:ascii="宋体" w:hAnsi="宋体"/>
          <w:szCs w:val="21"/>
        </w:rPr>
      </w:pPr>
      <w:r>
        <w:rPr>
          <w:rFonts w:hint="eastAsia" w:ascii="宋体" w:hAnsi="宋体"/>
          <w:szCs w:val="21"/>
        </w:rPr>
        <w:t>4、灯具的外形、灯头及接线应符合下列规定：</w:t>
      </w:r>
    </w:p>
    <w:p>
      <w:pPr>
        <w:spacing w:line="360" w:lineRule="auto"/>
        <w:ind w:firstLine="437"/>
        <w:rPr>
          <w:rFonts w:ascii="宋体" w:hAnsi="宋体"/>
          <w:szCs w:val="21"/>
        </w:rPr>
      </w:pPr>
      <w:r>
        <w:rPr>
          <w:rFonts w:hint="eastAsia" w:ascii="宋体" w:hAnsi="宋体"/>
          <w:szCs w:val="21"/>
        </w:rPr>
        <w:t>⑴ 灯具及其配件齐全，无机械损伤、变形，涂层剥落和灯罩破损等缺陷。</w:t>
      </w:r>
    </w:p>
    <w:p>
      <w:pPr>
        <w:spacing w:line="360" w:lineRule="auto"/>
        <w:ind w:firstLine="437"/>
        <w:rPr>
          <w:rFonts w:ascii="宋体" w:hAnsi="宋体"/>
          <w:szCs w:val="21"/>
        </w:rPr>
      </w:pPr>
      <w:r>
        <w:rPr>
          <w:rFonts w:hint="eastAsia" w:ascii="宋体" w:hAnsi="宋体"/>
          <w:szCs w:val="21"/>
        </w:rPr>
        <w:t>⑵ 除敞开式灯具外，其它各类灯具灯泡容量在100W及以上者，采用瓷质灯头。</w:t>
      </w:r>
    </w:p>
    <w:p>
      <w:pPr>
        <w:spacing w:line="360" w:lineRule="auto"/>
        <w:ind w:firstLine="437"/>
        <w:rPr>
          <w:rFonts w:ascii="宋体" w:hAnsi="宋体"/>
          <w:szCs w:val="21"/>
        </w:rPr>
      </w:pPr>
      <w:r>
        <w:rPr>
          <w:rFonts w:hint="eastAsia" w:ascii="宋体" w:hAnsi="宋体"/>
          <w:szCs w:val="21"/>
        </w:rPr>
        <w:t>⑶ 灯头的绝缘外壳不破损和漏电。</w:t>
      </w:r>
    </w:p>
    <w:p>
      <w:pPr>
        <w:spacing w:line="360" w:lineRule="auto"/>
        <w:ind w:firstLine="437"/>
        <w:rPr>
          <w:rFonts w:ascii="宋体" w:hAnsi="宋体"/>
          <w:szCs w:val="21"/>
        </w:rPr>
      </w:pPr>
      <w:r>
        <w:rPr>
          <w:rFonts w:hint="eastAsia" w:ascii="宋体" w:hAnsi="宋体"/>
          <w:szCs w:val="21"/>
        </w:rPr>
        <w:t>5、变电所内高、低压配电设备及裸母线的正上方不应安装灯具。</w:t>
      </w:r>
    </w:p>
    <w:p>
      <w:pPr>
        <w:spacing w:line="360" w:lineRule="auto"/>
        <w:ind w:firstLine="437"/>
        <w:rPr>
          <w:rFonts w:ascii="宋体" w:hAnsi="宋体"/>
          <w:szCs w:val="21"/>
        </w:rPr>
      </w:pPr>
      <w:r>
        <w:rPr>
          <w:rFonts w:hint="eastAsia" w:ascii="宋体" w:hAnsi="宋体"/>
          <w:szCs w:val="21"/>
        </w:rPr>
        <w:t>6、装有白炽灯泡的吸顶灯具，灯泡不应紧贴灯罩，当灯泡与绝缘台间距离小于5mm时，灯泡与绝缘台应采取隔热措施。</w:t>
      </w:r>
    </w:p>
    <w:p>
      <w:pPr>
        <w:spacing w:line="360" w:lineRule="auto"/>
        <w:ind w:firstLine="437"/>
        <w:rPr>
          <w:rFonts w:ascii="宋体" w:hAnsi="宋体"/>
          <w:szCs w:val="21"/>
        </w:rPr>
      </w:pPr>
      <w:r>
        <w:rPr>
          <w:rFonts w:hint="eastAsia" w:ascii="宋体" w:hAnsi="宋体"/>
          <w:szCs w:val="21"/>
        </w:rPr>
        <w:t>7、安装在室外的壁灯应有泄水孔，绝缘台与墙面之间应有防水措施。</w:t>
      </w:r>
    </w:p>
    <w:p>
      <w:pPr>
        <w:spacing w:line="360" w:lineRule="auto"/>
        <w:ind w:firstLine="437"/>
        <w:rPr>
          <w:rFonts w:ascii="宋体" w:hAnsi="宋体"/>
          <w:szCs w:val="21"/>
        </w:rPr>
      </w:pPr>
      <w:r>
        <w:rPr>
          <w:rFonts w:hint="eastAsia" w:ascii="宋体" w:hAnsi="宋体"/>
          <w:szCs w:val="21"/>
        </w:rPr>
        <w:t>8、应急灯具的安装应符合下列规定：</w:t>
      </w:r>
    </w:p>
    <w:p>
      <w:pPr>
        <w:spacing w:line="360" w:lineRule="auto"/>
        <w:ind w:firstLine="437"/>
        <w:rPr>
          <w:rFonts w:ascii="宋体" w:hAnsi="宋体"/>
          <w:szCs w:val="21"/>
        </w:rPr>
      </w:pPr>
      <w:r>
        <w:rPr>
          <w:rFonts w:hint="eastAsia" w:ascii="宋体" w:hAnsi="宋体"/>
          <w:szCs w:val="21"/>
        </w:rPr>
        <w:t>⑴ 应急照明灯的电源除正常电源外，另有一路电源供电；或是独立于正常电源的柴油发电机供电；或由蓄电池供电或选用自带电源型应急灯具。</w:t>
      </w:r>
    </w:p>
    <w:p>
      <w:pPr>
        <w:spacing w:line="360" w:lineRule="auto"/>
        <w:ind w:firstLine="437"/>
        <w:rPr>
          <w:rFonts w:ascii="宋体" w:hAnsi="宋体"/>
          <w:szCs w:val="21"/>
        </w:rPr>
      </w:pPr>
      <w:r>
        <w:rPr>
          <w:rFonts w:hint="eastAsia" w:ascii="宋体" w:hAnsi="宋体"/>
          <w:szCs w:val="21"/>
        </w:rPr>
        <w:t>⑵ 应急照明在正常电源断电后，电源转换时间为：疏散照明≤15S；备用照明≤15S，金融商店交易所≤1.5S；安全照明≤0.5S。</w:t>
      </w:r>
    </w:p>
    <w:p>
      <w:pPr>
        <w:spacing w:line="360" w:lineRule="auto"/>
        <w:ind w:firstLine="437"/>
        <w:rPr>
          <w:rFonts w:ascii="宋体" w:hAnsi="宋体"/>
          <w:szCs w:val="21"/>
        </w:rPr>
      </w:pPr>
      <w:r>
        <w:rPr>
          <w:rFonts w:hint="eastAsia" w:ascii="宋体" w:hAnsi="宋体"/>
          <w:szCs w:val="21"/>
        </w:rPr>
        <w:t>⑶ 疏散照明由安全出口标志灯和疏散标志灯组成，安全出口标志灯距地高度不低于2m；且安装在疏散出口和楼梯口里侧的上方。</w:t>
      </w:r>
    </w:p>
    <w:p>
      <w:pPr>
        <w:spacing w:line="360" w:lineRule="auto"/>
        <w:ind w:firstLine="437"/>
        <w:rPr>
          <w:rFonts w:ascii="宋体" w:hAnsi="宋体"/>
          <w:szCs w:val="21"/>
        </w:rPr>
      </w:pPr>
      <w:r>
        <w:rPr>
          <w:rFonts w:hint="eastAsia" w:ascii="宋体" w:hAnsi="宋体"/>
          <w:szCs w:val="21"/>
        </w:rPr>
        <w:t>⑷ 疏散标志灯安装在安全出口的顶部，楼梯间、疏散走道及其转角处应安装在1m以下的墙面上。不易安装的部位可安装在上部。疏散通道上标志灯间距不大于20m（人防工程不大于10m）。</w:t>
      </w:r>
    </w:p>
    <w:p>
      <w:pPr>
        <w:spacing w:line="360" w:lineRule="auto"/>
        <w:ind w:firstLine="437"/>
        <w:rPr>
          <w:rFonts w:ascii="宋体" w:hAnsi="宋体"/>
          <w:szCs w:val="21"/>
        </w:rPr>
      </w:pPr>
      <w:r>
        <w:rPr>
          <w:rFonts w:hint="eastAsia" w:ascii="宋体" w:hAnsi="宋体"/>
          <w:szCs w:val="21"/>
        </w:rPr>
        <w:t>⑸ 疏散标志灯的设置，不影响正常通行，且不在其周围设置容易混同疏散标志灯的其它标准牌等。</w:t>
      </w:r>
    </w:p>
    <w:p>
      <w:pPr>
        <w:spacing w:line="360" w:lineRule="auto"/>
        <w:ind w:firstLine="437"/>
        <w:rPr>
          <w:rFonts w:ascii="宋体" w:hAnsi="宋体"/>
          <w:szCs w:val="21"/>
        </w:rPr>
      </w:pPr>
      <w:r>
        <w:rPr>
          <w:rFonts w:hint="eastAsia" w:ascii="宋体" w:hAnsi="宋体"/>
          <w:szCs w:val="21"/>
        </w:rPr>
        <w:t>⑹ 应急照明灯具，运行中温度高于60℃的灯具，当靠近可燃物时，采取隔热、散热等防火措施，当采用白炽灯、卤钨灯等光源时，不直接安装在可燃装修材料或可燃物件上。</w:t>
      </w:r>
    </w:p>
    <w:p>
      <w:pPr>
        <w:spacing w:line="360" w:lineRule="auto"/>
        <w:ind w:firstLine="437"/>
        <w:rPr>
          <w:rFonts w:ascii="宋体" w:hAnsi="宋体"/>
          <w:szCs w:val="21"/>
        </w:rPr>
      </w:pPr>
      <w:r>
        <w:rPr>
          <w:rFonts w:hint="eastAsia" w:ascii="宋体" w:hAnsi="宋体"/>
          <w:szCs w:val="21"/>
        </w:rPr>
        <w:t>⑺ 应急照明线路在每个防火分区有独立的应急照明回路，穿越不同防火分区的线路有防火隔堵措施。</w:t>
      </w:r>
    </w:p>
    <w:p>
      <w:pPr>
        <w:spacing w:line="360" w:lineRule="auto"/>
        <w:ind w:firstLine="437"/>
        <w:rPr>
          <w:rFonts w:ascii="宋体" w:hAnsi="宋体"/>
          <w:szCs w:val="21"/>
        </w:rPr>
      </w:pPr>
      <w:r>
        <w:rPr>
          <w:rFonts w:hint="eastAsia" w:ascii="宋体" w:hAnsi="宋体"/>
          <w:szCs w:val="21"/>
        </w:rPr>
        <w:t>⑻ 疏散照明线路采用耐火电线、电缆，穿管明敷或在非燃烧体内穿刚性导管暗敷，暗敷保护层厚度不小于30mm；电线采用额定电压不低于750V铜芯绝缘电线。</w:t>
      </w:r>
    </w:p>
    <w:p>
      <w:pPr>
        <w:spacing w:line="360" w:lineRule="auto"/>
        <w:rPr>
          <w:rFonts w:ascii="宋体" w:hAnsi="宋体"/>
          <w:szCs w:val="21"/>
        </w:rPr>
      </w:pPr>
    </w:p>
    <w:p>
      <w:pPr>
        <w:spacing w:line="360" w:lineRule="auto"/>
        <w:rPr>
          <w:rFonts w:ascii="宋体" w:hAnsi="宋体"/>
          <w:kern w:val="0"/>
        </w:rPr>
      </w:pPr>
      <w:r>
        <w:rPr>
          <w:rFonts w:hint="eastAsia" w:ascii="宋体" w:hAnsi="宋体"/>
          <w:szCs w:val="21"/>
        </w:rPr>
        <w:t>9.灯具规格及图片参考表</w:t>
      </w:r>
    </w:p>
    <w:p>
      <w:pPr>
        <w:autoSpaceDE w:val="0"/>
        <w:autoSpaceDN w:val="0"/>
        <w:spacing w:line="360" w:lineRule="auto"/>
        <w:rPr>
          <w:rFonts w:ascii="宋体" w:hAnsi="宋体"/>
          <w:kern w:val="0"/>
        </w:rPr>
      </w:pPr>
    </w:p>
    <w:tbl>
      <w:tblPr>
        <w:tblStyle w:val="43"/>
        <w:tblW w:w="8535"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2100"/>
        <w:gridCol w:w="5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336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517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双管日光灯（带灯罩）</w:t>
            </w:r>
          </w:p>
        </w:tc>
        <w:tc>
          <w:tcPr>
            <w:tcW w:w="5175"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p>
          <w:p>
            <w:pPr>
              <w:spacing w:line="360" w:lineRule="auto"/>
              <w:jc w:val="center"/>
              <w:rPr>
                <w:shd w:val="pct10" w:color="auto" w:fill="FFFFFF"/>
              </w:rPr>
            </w:pPr>
            <w:r>
              <w:rPr>
                <w:shd w:val="pct10" w:color="auto" w:fill="FFFFFF"/>
              </w:rPr>
              <w:drawing>
                <wp:inline distT="0" distB="0" distL="0" distR="0">
                  <wp:extent cx="2800350" cy="2447925"/>
                  <wp:effectExtent l="19050" t="0" r="0" b="0"/>
                  <wp:docPr id="314"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232"/>
                          <pic:cNvPicPr>
                            <a:picLocks noChangeAspect="1" noChangeArrowheads="1"/>
                          </pic:cNvPicPr>
                        </pic:nvPicPr>
                        <pic:blipFill>
                          <a:blip r:embed="rId82"/>
                          <a:srcRect/>
                          <a:stretch>
                            <a:fillRect/>
                          </a:stretch>
                        </pic:blipFill>
                        <pic:spPr>
                          <a:xfrm>
                            <a:off x="0" y="0"/>
                            <a:ext cx="2800350" cy="244792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1200mm</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2×28W三基色T5荧光灯</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教室</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吊链/壁装/吸顶装</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t>支架材料采用优质铝材挤压成型</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4"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t>IP20</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autoSpaceDE w:val="0"/>
        <w:autoSpaceDN w:val="0"/>
        <w:spacing w:line="360" w:lineRule="auto"/>
        <w:jc w:val="center"/>
        <w:rPr>
          <w:rFonts w:ascii="宋体" w:hAnsi="宋体"/>
          <w:kern w:val="0"/>
        </w:rPr>
      </w:pPr>
    </w:p>
    <w:p>
      <w:pPr>
        <w:autoSpaceDE w:val="0"/>
        <w:autoSpaceDN w:val="0"/>
        <w:spacing w:line="360" w:lineRule="auto"/>
        <w:jc w:val="center"/>
        <w:rPr>
          <w:rFonts w:ascii="宋体" w:hAnsi="宋体"/>
          <w:kern w:val="0"/>
        </w:rPr>
      </w:pPr>
    </w:p>
    <w:tbl>
      <w:tblPr>
        <w:tblStyle w:val="43"/>
        <w:tblW w:w="8190"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8"/>
        <w:gridCol w:w="2095"/>
        <w:gridCol w:w="48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335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483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防水吸顶灯（节能型）</w:t>
            </w:r>
          </w:p>
        </w:tc>
        <w:tc>
          <w:tcPr>
            <w:tcW w:w="4837"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shd w:val="pct10" w:color="auto" w:fill="FFFFFF"/>
              </w:rPr>
              <w:drawing>
                <wp:inline distT="0" distB="0" distL="0" distR="0">
                  <wp:extent cx="2238375" cy="2200275"/>
                  <wp:effectExtent l="19050" t="0" r="9525" b="0"/>
                  <wp:docPr id="315"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233"/>
                          <pic:cNvPicPr>
                            <a:picLocks noChangeAspect="1" noChangeArrowheads="1"/>
                          </pic:cNvPicPr>
                        </pic:nvPicPr>
                        <pic:blipFill>
                          <a:blip r:embed="rId83"/>
                          <a:srcRect/>
                          <a:stretch>
                            <a:fillRect/>
                          </a:stretch>
                        </pic:blipFill>
                        <pic:spPr>
                          <a:xfrm>
                            <a:off x="0" y="0"/>
                            <a:ext cx="2238375" cy="2200275"/>
                          </a:xfrm>
                          <a:prstGeom prst="rect">
                            <a:avLst/>
                          </a:prstGeom>
                          <a:noFill/>
                          <a:ln w="9525">
                            <a:noFill/>
                            <a:miter lim="800000"/>
                            <a:headEnd/>
                            <a:tailEnd/>
                          </a:ln>
                        </pic:spPr>
                      </pic:pic>
                    </a:graphicData>
                  </a:graphic>
                </wp:inline>
              </w:drawing>
            </w:r>
          </w:p>
          <w:p>
            <w:pPr>
              <w:spacing w:line="360" w:lineRule="auto"/>
              <w:jc w:val="center"/>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rFonts w:ascii="宋体" w:hAnsi="宋体"/>
                <w:kern w:val="0"/>
              </w:rPr>
            </w:pPr>
            <w:r>
              <w:t>Ф280</w:t>
            </w:r>
            <w:r>
              <w:rPr>
                <w:rFonts w:hint="eastAsia"/>
              </w:rPr>
              <w:t>mm</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节能灯24W</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卫生间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吸顶式</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Arial" w:hAnsi="Arial"/>
              </w:rPr>
              <w:t>优质冷轧钢板</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反射罩材质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t>面罩采用PMMA板材制成</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t>IP</w:t>
            </w:r>
            <w:r>
              <w:rPr>
                <w:rFonts w:hint="eastAsia"/>
              </w:rPr>
              <w:t>20</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autoSpaceDE w:val="0"/>
        <w:autoSpaceDN w:val="0"/>
        <w:spacing w:line="360" w:lineRule="auto"/>
        <w:jc w:val="left"/>
        <w:rPr>
          <w:rFonts w:ascii="宋体" w:hAnsi="宋体"/>
          <w:kern w:val="0"/>
        </w:rPr>
      </w:pPr>
    </w:p>
    <w:p>
      <w:pPr>
        <w:autoSpaceDE w:val="0"/>
        <w:autoSpaceDN w:val="0"/>
        <w:spacing w:line="360" w:lineRule="auto"/>
        <w:jc w:val="center"/>
        <w:rPr>
          <w:rFonts w:ascii="宋体" w:hAnsi="宋体"/>
          <w:kern w:val="0"/>
        </w:rPr>
      </w:pPr>
    </w:p>
    <w:p>
      <w:pPr>
        <w:autoSpaceDE w:val="0"/>
        <w:autoSpaceDN w:val="0"/>
        <w:spacing w:line="360" w:lineRule="auto"/>
        <w:jc w:val="center"/>
        <w:rPr>
          <w:rFonts w:ascii="宋体" w:hAnsi="宋体"/>
          <w:kern w:val="0"/>
        </w:rPr>
      </w:pPr>
    </w:p>
    <w:p>
      <w:pPr>
        <w:autoSpaceDE w:val="0"/>
        <w:autoSpaceDN w:val="0"/>
        <w:spacing w:line="360" w:lineRule="auto"/>
        <w:jc w:val="center"/>
        <w:rPr>
          <w:rFonts w:ascii="宋体" w:hAnsi="宋体"/>
          <w:kern w:val="0"/>
        </w:rPr>
      </w:pPr>
    </w:p>
    <w:tbl>
      <w:tblPr>
        <w:tblStyle w:val="43"/>
        <w:tblW w:w="8535"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2100"/>
        <w:gridCol w:w="5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336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517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黑板专用灯</w:t>
            </w:r>
          </w:p>
        </w:tc>
        <w:tc>
          <w:tcPr>
            <w:tcW w:w="5175"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p>
          <w:p>
            <w:pPr>
              <w:spacing w:line="360" w:lineRule="auto"/>
              <w:jc w:val="center"/>
              <w:rPr>
                <w:shd w:val="pct10" w:color="auto" w:fill="FFFFFF"/>
              </w:rPr>
            </w:pPr>
            <w:r>
              <w:rPr>
                <w:shd w:val="pct10" w:color="auto" w:fill="FFFFFF"/>
              </w:rPr>
              <w:drawing>
                <wp:inline distT="0" distB="0" distL="0" distR="0">
                  <wp:extent cx="3143250" cy="2381250"/>
                  <wp:effectExtent l="19050" t="0" r="0" b="0"/>
                  <wp:docPr id="316"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234"/>
                          <pic:cNvPicPr>
                            <a:picLocks noChangeAspect="1" noChangeArrowheads="1"/>
                          </pic:cNvPicPr>
                        </pic:nvPicPr>
                        <pic:blipFill>
                          <a:blip r:embed="rId84"/>
                          <a:srcRect/>
                          <a:stretch>
                            <a:fillRect/>
                          </a:stretch>
                        </pic:blipFill>
                        <pic:spPr>
                          <a:xfrm>
                            <a:off x="0" y="0"/>
                            <a:ext cx="3143250" cy="23812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1200mm</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2×28W三基色T5荧光灯</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教室</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管吊安装</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t>上罩、反光罩采用优质铝材挤压成型</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4"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t>IP20</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autoSpaceDE w:val="0"/>
        <w:autoSpaceDN w:val="0"/>
        <w:spacing w:line="360" w:lineRule="auto"/>
        <w:jc w:val="center"/>
        <w:rPr>
          <w:rFonts w:ascii="宋体" w:hAnsi="宋体"/>
          <w:kern w:val="0"/>
        </w:rPr>
      </w:pPr>
    </w:p>
    <w:p>
      <w:pPr>
        <w:autoSpaceDE w:val="0"/>
        <w:autoSpaceDN w:val="0"/>
        <w:spacing w:line="360" w:lineRule="auto"/>
        <w:jc w:val="center"/>
        <w:rPr>
          <w:rFonts w:ascii="宋体" w:hAnsi="宋体"/>
          <w:kern w:val="0"/>
        </w:rPr>
      </w:pPr>
    </w:p>
    <w:p>
      <w:pPr>
        <w:autoSpaceDE w:val="0"/>
        <w:autoSpaceDN w:val="0"/>
        <w:spacing w:line="360" w:lineRule="auto"/>
        <w:rPr>
          <w:rFonts w:ascii="宋体" w:hAnsi="宋体"/>
          <w:kern w:val="0"/>
        </w:rPr>
      </w:pPr>
    </w:p>
    <w:tbl>
      <w:tblPr>
        <w:tblStyle w:val="43"/>
        <w:tblW w:w="8190"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8"/>
        <w:gridCol w:w="2095"/>
        <w:gridCol w:w="48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335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483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格栅灯盘</w:t>
            </w:r>
          </w:p>
        </w:tc>
        <w:tc>
          <w:tcPr>
            <w:tcW w:w="4837"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p>
          <w:p>
            <w:pPr>
              <w:spacing w:line="360" w:lineRule="auto"/>
              <w:jc w:val="center"/>
              <w:rPr>
                <w:shd w:val="pct10" w:color="auto" w:fill="FFFFFF"/>
              </w:rPr>
            </w:pPr>
            <w:r>
              <w:rPr>
                <w:rFonts w:eastAsia="Times New Roman"/>
              </w:rPr>
              <w:drawing>
                <wp:inline distT="0" distB="0" distL="0" distR="0">
                  <wp:extent cx="2914650" cy="1657350"/>
                  <wp:effectExtent l="19050" t="0" r="0" b="0"/>
                  <wp:docPr id="317"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235"/>
                          <pic:cNvPicPr>
                            <a:picLocks noChangeAspect="1" noChangeArrowheads="1"/>
                          </pic:cNvPicPr>
                        </pic:nvPicPr>
                        <pic:blipFill>
                          <a:blip r:embed="rId85"/>
                          <a:srcRect/>
                          <a:stretch>
                            <a:fillRect/>
                          </a:stretch>
                        </pic:blipFill>
                        <pic:spPr>
                          <a:xfrm>
                            <a:off x="0" y="0"/>
                            <a:ext cx="2914650" cy="1657350"/>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rFonts w:ascii="宋体" w:hAnsi="宋体"/>
                <w:kern w:val="0"/>
              </w:rPr>
            </w:pPr>
            <w:r>
              <w:rPr>
                <w:rFonts w:hint="eastAsia" w:ascii="宋体" w:hAnsi="宋体"/>
                <w:kern w:val="0"/>
              </w:rPr>
              <w:t>1200mm X 600mm</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3x28W 三基色T5荧光灯</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办公室</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嵌入式</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ascii="Arial" w:hAnsi="Arial"/>
              </w:rPr>
              <w:t>不锈钢板</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反射罩材质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hAnsi="宋体"/>
              </w:rPr>
              <w:t>磨砂电化铝</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光源寿命</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t>IP</w:t>
            </w:r>
            <w:r>
              <w:rPr>
                <w:rFonts w:hint="eastAsia"/>
              </w:rPr>
              <w:t>20</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spacing w:line="360" w:lineRule="auto"/>
      </w:pPr>
    </w:p>
    <w:p>
      <w:pPr>
        <w:spacing w:line="360" w:lineRule="auto"/>
      </w:pPr>
    </w:p>
    <w:p>
      <w:pPr>
        <w:spacing w:line="360" w:lineRule="auto"/>
      </w:pPr>
    </w:p>
    <w:p>
      <w:pPr>
        <w:spacing w:line="360" w:lineRule="auto"/>
      </w:pPr>
    </w:p>
    <w:tbl>
      <w:tblPr>
        <w:tblStyle w:val="43"/>
        <w:tblW w:w="8190"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8"/>
        <w:gridCol w:w="2095"/>
        <w:gridCol w:w="48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335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483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kern w:val="0"/>
              </w:rPr>
              <w:t>吸顶灯</w:t>
            </w:r>
          </w:p>
        </w:tc>
        <w:tc>
          <w:tcPr>
            <w:tcW w:w="4837"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shd w:val="pct10" w:color="auto" w:fill="FFFFFF"/>
              </w:rPr>
              <w:drawing>
                <wp:inline distT="0" distB="0" distL="0" distR="0">
                  <wp:extent cx="2238375" cy="2200275"/>
                  <wp:effectExtent l="19050" t="0" r="9525" b="0"/>
                  <wp:docPr id="318"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236"/>
                          <pic:cNvPicPr>
                            <a:picLocks noChangeAspect="1" noChangeArrowheads="1"/>
                          </pic:cNvPicPr>
                        </pic:nvPicPr>
                        <pic:blipFill>
                          <a:blip r:embed="rId83"/>
                          <a:srcRect/>
                          <a:stretch>
                            <a:fillRect/>
                          </a:stretch>
                        </pic:blipFill>
                        <pic:spPr>
                          <a:xfrm>
                            <a:off x="0" y="0"/>
                            <a:ext cx="2238375" cy="2200275"/>
                          </a:xfrm>
                          <a:prstGeom prst="rect">
                            <a:avLst/>
                          </a:prstGeom>
                          <a:noFill/>
                          <a:ln w="9525">
                            <a:noFill/>
                            <a:miter lim="800000"/>
                            <a:headEnd/>
                            <a:tailEnd/>
                          </a:ln>
                        </pic:spPr>
                      </pic:pic>
                    </a:graphicData>
                  </a:graphic>
                </wp:inline>
              </w:drawing>
            </w:r>
          </w:p>
          <w:p>
            <w:pPr>
              <w:spacing w:line="360" w:lineRule="auto"/>
              <w:jc w:val="center"/>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rFonts w:ascii="宋体" w:hAnsi="宋体"/>
                <w:kern w:val="0"/>
              </w:rPr>
            </w:pPr>
            <w:r>
              <w:t>Ф280</w:t>
            </w:r>
            <w:r>
              <w:rPr>
                <w:rFonts w:hint="eastAsia"/>
              </w:rPr>
              <w:t>mm</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节能灯24W</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楼梯间、</w:t>
            </w:r>
            <w:r>
              <w:rPr>
                <w:rFonts w:hint="eastAsia"/>
              </w:rPr>
              <w:t>走廊、电梯厅、走廊</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吸顶式</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Arial" w:hAnsi="Arial"/>
              </w:rPr>
              <w:t>优质冷轧钢板</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反射罩材质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t>面罩采用PMMA板材制成</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t>IP</w:t>
            </w:r>
            <w:r>
              <w:rPr>
                <w:rFonts w:hint="eastAsia"/>
              </w:rPr>
              <w:t>20</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spacing w:line="360" w:lineRule="auto"/>
      </w:pPr>
    </w:p>
    <w:p>
      <w:pPr>
        <w:spacing w:line="360" w:lineRule="auto"/>
      </w:pPr>
    </w:p>
    <w:p>
      <w:pPr>
        <w:spacing w:line="360" w:lineRule="auto"/>
      </w:pPr>
    </w:p>
    <w:p>
      <w:pPr>
        <w:spacing w:line="360" w:lineRule="auto"/>
      </w:pPr>
    </w:p>
    <w:p>
      <w:pPr>
        <w:spacing w:line="360" w:lineRule="auto"/>
      </w:pPr>
    </w:p>
    <w:tbl>
      <w:tblPr>
        <w:tblStyle w:val="43"/>
        <w:tblW w:w="8190"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8"/>
        <w:gridCol w:w="2095"/>
        <w:gridCol w:w="48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335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4837"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嵌入式吸顶灯</w:t>
            </w:r>
          </w:p>
        </w:tc>
        <w:tc>
          <w:tcPr>
            <w:tcW w:w="4837"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shd w:val="pct10" w:color="auto" w:fill="FFFFFF"/>
              </w:rPr>
              <w:drawing>
                <wp:inline distT="0" distB="0" distL="0" distR="0">
                  <wp:extent cx="2362200" cy="2362200"/>
                  <wp:effectExtent l="19050" t="0" r="0" b="0"/>
                  <wp:docPr id="319" name="图片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243"/>
                          <pic:cNvPicPr>
                            <a:picLocks noChangeAspect="1" noChangeArrowheads="1"/>
                          </pic:cNvPicPr>
                        </pic:nvPicPr>
                        <pic:blipFill>
                          <a:blip r:embed="rId86"/>
                          <a:srcRect/>
                          <a:stretch>
                            <a:fillRect/>
                          </a:stretch>
                        </pic:blipFill>
                        <pic:spPr>
                          <a:xfrm>
                            <a:off x="0" y="0"/>
                            <a:ext cx="2362200" cy="2362200"/>
                          </a:xfrm>
                          <a:prstGeom prst="rect">
                            <a:avLst/>
                          </a:prstGeom>
                          <a:noFill/>
                          <a:ln w="9525">
                            <a:noFill/>
                            <a:miter lim="800000"/>
                            <a:headEnd/>
                            <a:tailEnd/>
                          </a:ln>
                        </pic:spPr>
                      </pic:pic>
                    </a:graphicData>
                  </a:graphic>
                </wp:inline>
              </w:drawing>
            </w:r>
          </w:p>
          <w:p>
            <w:pPr>
              <w:spacing w:line="360" w:lineRule="auto"/>
              <w:jc w:val="center"/>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rFonts w:ascii="宋体" w:hAnsi="宋体"/>
                <w:kern w:val="0"/>
              </w:rPr>
            </w:pPr>
            <w:r>
              <w:t>Ф</w:t>
            </w:r>
            <w:r>
              <w:rPr>
                <w:rFonts w:hint="eastAsia"/>
              </w:rPr>
              <w:t>300×300mm</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白色</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节能灯24W</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58"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09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kern w:val="0"/>
              </w:rPr>
              <w:t>艺术楼卫生间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嵌入式</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Arial" w:hAnsi="Arial"/>
              </w:rPr>
              <w:t>优质冷轧钢板</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反射罩材质</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t>面罩采用纯进口的PMMA板材制成</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58"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095" w:type="dxa"/>
            <w:tcBorders>
              <w:top w:val="single" w:color="auto" w:sz="4" w:space="0"/>
              <w:left w:val="single" w:color="auto" w:sz="4" w:space="0"/>
              <w:bottom w:val="single" w:color="auto" w:sz="4" w:space="0"/>
              <w:right w:val="single" w:color="auto" w:sz="4" w:space="0"/>
            </w:tcBorders>
            <w:vAlign w:val="center"/>
          </w:tcPr>
          <w:p>
            <w:pPr>
              <w:spacing w:line="360" w:lineRule="auto"/>
            </w:pPr>
            <w:r>
              <w:t>IP</w:t>
            </w:r>
            <w:r>
              <w:rPr>
                <w:rFonts w:hint="eastAsia"/>
              </w:rPr>
              <w:t>20</w:t>
            </w:r>
          </w:p>
        </w:tc>
        <w:tc>
          <w:tcPr>
            <w:tcW w:w="4837"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spacing w:line="360" w:lineRule="auto"/>
      </w:pPr>
    </w:p>
    <w:p>
      <w:pPr>
        <w:spacing w:line="360" w:lineRule="auto"/>
      </w:pPr>
    </w:p>
    <w:tbl>
      <w:tblPr>
        <w:tblStyle w:val="43"/>
        <w:tblW w:w="8535" w:type="dxa"/>
        <w:tblInd w:w="2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2100"/>
        <w:gridCol w:w="5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336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kern w:val="0"/>
              </w:rPr>
            </w:pPr>
            <w:r>
              <w:rPr>
                <w:rFonts w:hint="eastAsia" w:ascii="宋体" w:hAnsi="宋体"/>
                <w:kern w:val="0"/>
              </w:rPr>
              <w:t>描　述</w:t>
            </w:r>
          </w:p>
        </w:tc>
        <w:tc>
          <w:tcPr>
            <w:tcW w:w="517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r>
              <w:rPr>
                <w:rFonts w:hint="eastAsia" w:ascii="宋体" w:hAnsi="宋体"/>
                <w:kern w:val="0"/>
              </w:rPr>
              <w:t>参考图片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0"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类型</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工矿灯</w:t>
            </w:r>
          </w:p>
        </w:tc>
        <w:tc>
          <w:tcPr>
            <w:tcW w:w="5175"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shd w:val="pct10" w:color="auto" w:fill="FFFFFF"/>
              </w:rPr>
            </w:pPr>
          </w:p>
          <w:p>
            <w:pPr>
              <w:spacing w:line="360" w:lineRule="auto"/>
              <w:jc w:val="center"/>
              <w:rPr>
                <w:shd w:val="pct10" w:color="auto" w:fill="FFFFFF"/>
              </w:rPr>
            </w:pPr>
            <w:r>
              <w:rPr>
                <w:shd w:val="pct10" w:color="auto" w:fill="FFFFFF"/>
              </w:rPr>
              <w:drawing>
                <wp:inline distT="0" distB="0" distL="0" distR="0">
                  <wp:extent cx="2876550" cy="2162175"/>
                  <wp:effectExtent l="19050" t="0" r="0" b="0"/>
                  <wp:docPr id="320"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244"/>
                          <pic:cNvPicPr>
                            <a:picLocks noChangeAspect="1" noChangeArrowheads="1"/>
                          </pic:cNvPicPr>
                        </pic:nvPicPr>
                        <pic:blipFill>
                          <a:blip r:embed="rId87"/>
                          <a:srcRect/>
                          <a:stretch>
                            <a:fillRect/>
                          </a:stretch>
                        </pic:blipFill>
                        <pic:spPr>
                          <a:xfrm>
                            <a:off x="0" y="0"/>
                            <a:ext cx="2876550" cy="2162175"/>
                          </a:xfrm>
                          <a:prstGeom prst="rect">
                            <a:avLst/>
                          </a:prstGeom>
                          <a:noFill/>
                          <a:ln w="9525">
                            <a:noFill/>
                            <a:miter lim="800000"/>
                            <a:headEnd/>
                            <a:tailEnd/>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尺寸</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20</w:t>
            </w:r>
            <w:r>
              <w:t>”</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6"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颜色</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银色</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光源</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节能灯36W/65W</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126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ascii="宋体" w:hAnsi="宋体"/>
                <w:kern w:val="0"/>
              </w:rPr>
              <w:t>区域</w:t>
            </w:r>
          </w:p>
        </w:tc>
        <w:tc>
          <w:tcPr>
            <w:tcW w:w="210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rPr>
                <w:kern w:val="0"/>
              </w:rPr>
            </w:pPr>
            <w:r>
              <w:rPr>
                <w:rFonts w:hint="eastAsia"/>
              </w:rPr>
              <w:t>架空层</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安装</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rPr>
                <w:rFonts w:hint="eastAsia" w:ascii="宋体" w:hAnsi="宋体"/>
              </w:rPr>
              <w:t>吊链/吸顶安装</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灯体材质</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jc w:val="left"/>
              <w:rPr>
                <w:rFonts w:eastAsia="Times New Roman"/>
              </w:rPr>
            </w:pPr>
            <w:r>
              <w:t>材质工艺：0.8/1.0mm高纯铝</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9"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寿命</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imes New Roman"/>
              </w:rPr>
            </w:pPr>
            <w:r>
              <w:rPr>
                <w:rFonts w:hint="eastAsia"/>
              </w:rPr>
              <w:t>≥</w:t>
            </w:r>
            <w:r>
              <w:t>5</w:t>
            </w:r>
            <w:r>
              <w:rPr>
                <w:rFonts w:hint="eastAsia"/>
              </w:rPr>
              <w:t>年</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4" w:hRule="atLeast"/>
        </w:trPr>
        <w:tc>
          <w:tcPr>
            <w:tcW w:w="1260" w:type="dxa"/>
            <w:tcBorders>
              <w:top w:val="single" w:color="auto" w:sz="4" w:space="0"/>
              <w:left w:val="single" w:color="auto" w:sz="4" w:space="0"/>
              <w:bottom w:val="single" w:color="auto" w:sz="4" w:space="0"/>
              <w:right w:val="single" w:color="auto" w:sz="4" w:space="0"/>
            </w:tcBorders>
            <w:vAlign w:val="center"/>
          </w:tcPr>
          <w:p>
            <w:pPr>
              <w:spacing w:line="360" w:lineRule="auto"/>
              <w:ind w:right="113"/>
              <w:rPr>
                <w:rFonts w:eastAsia="Times New Roman"/>
              </w:rPr>
            </w:pPr>
            <w:r>
              <w:rPr>
                <w:rFonts w:hint="eastAsia"/>
              </w:rPr>
              <w:t>防护等级</w:t>
            </w:r>
          </w:p>
        </w:tc>
        <w:tc>
          <w:tcPr>
            <w:tcW w:w="2100" w:type="dxa"/>
            <w:tcBorders>
              <w:top w:val="single" w:color="auto" w:sz="4" w:space="0"/>
              <w:left w:val="single" w:color="auto" w:sz="4" w:space="0"/>
              <w:bottom w:val="single" w:color="auto" w:sz="4" w:space="0"/>
              <w:right w:val="single" w:color="auto" w:sz="4" w:space="0"/>
            </w:tcBorders>
            <w:vAlign w:val="center"/>
          </w:tcPr>
          <w:p>
            <w:pPr>
              <w:spacing w:line="360" w:lineRule="auto"/>
            </w:pPr>
            <w:r>
              <w:t>IP20</w:t>
            </w:r>
          </w:p>
        </w:tc>
        <w:tc>
          <w:tcPr>
            <w:tcW w:w="5175" w:type="dxa"/>
            <w:vMerge w:val="continue"/>
            <w:tcBorders>
              <w:top w:val="single" w:color="auto" w:sz="4" w:space="0"/>
              <w:left w:val="single" w:color="auto" w:sz="4" w:space="0"/>
              <w:bottom w:val="single" w:color="auto" w:sz="4" w:space="0"/>
              <w:right w:val="single" w:color="auto" w:sz="4" w:space="0"/>
            </w:tcBorders>
          </w:tcPr>
          <w:p>
            <w:pPr>
              <w:spacing w:line="360" w:lineRule="auto"/>
              <w:rPr>
                <w:rFonts w:eastAsia="Times New Roman"/>
                <w:shd w:val="pct10" w:color="auto" w:fill="FFFFFF"/>
              </w:rPr>
            </w:pPr>
          </w:p>
        </w:tc>
      </w:tr>
    </w:tbl>
    <w:p>
      <w:pPr>
        <w:spacing w:line="360" w:lineRule="auto"/>
      </w:pPr>
    </w:p>
    <w:p>
      <w:pPr>
        <w:spacing w:line="360" w:lineRule="auto"/>
        <w:ind w:firstLine="437"/>
        <w:rPr>
          <w:rFonts w:ascii="宋体" w:hAnsi="宋体"/>
          <w:szCs w:val="21"/>
        </w:rPr>
      </w:pPr>
    </w:p>
    <w:p>
      <w:pPr>
        <w:spacing w:line="360" w:lineRule="auto"/>
        <w:ind w:firstLine="437"/>
        <w:rPr>
          <w:rFonts w:ascii="宋体" w:hAnsi="宋体"/>
          <w:szCs w:val="21"/>
        </w:rPr>
      </w:pPr>
    </w:p>
    <w:p>
      <w:pPr>
        <w:spacing w:line="360" w:lineRule="auto"/>
        <w:ind w:firstLine="437"/>
        <w:rPr>
          <w:rFonts w:ascii="宋体" w:hAnsi="宋体"/>
          <w:szCs w:val="21"/>
        </w:rPr>
      </w:pPr>
      <w:r>
        <w:rPr>
          <w:rFonts w:hint="eastAsia" w:ascii="宋体" w:hAnsi="宋体"/>
          <w:szCs w:val="21"/>
        </w:rPr>
        <w:t>二、开关、插座、风扇的安装</w:t>
      </w:r>
    </w:p>
    <w:p>
      <w:pPr>
        <w:spacing w:line="360" w:lineRule="auto"/>
        <w:ind w:firstLine="437"/>
        <w:rPr>
          <w:rFonts w:ascii="宋体" w:hAnsi="宋体"/>
          <w:szCs w:val="21"/>
        </w:rPr>
      </w:pPr>
      <w:r>
        <w:rPr>
          <w:rFonts w:hint="eastAsia" w:ascii="宋体" w:hAnsi="宋体"/>
          <w:szCs w:val="21"/>
        </w:rPr>
        <w:t>1、所有开关、插座、风扇的安装按已施工图设计执行，开关、插座、风扇的规格型号电压等级符合设计要求，性能及技术要求见附表《电气工程材料、设备技术要求表》。</w:t>
      </w:r>
    </w:p>
    <w:p>
      <w:pPr>
        <w:spacing w:line="360" w:lineRule="auto"/>
        <w:ind w:firstLine="437"/>
        <w:rPr>
          <w:rFonts w:ascii="宋体" w:hAnsi="宋体"/>
          <w:szCs w:val="21"/>
        </w:rPr>
      </w:pPr>
      <w:r>
        <w:rPr>
          <w:rFonts w:hint="eastAsia" w:ascii="宋体" w:hAnsi="宋体"/>
          <w:szCs w:val="21"/>
        </w:rPr>
        <w:t>2、安装质量要求</w:t>
      </w:r>
    </w:p>
    <w:p>
      <w:pPr>
        <w:spacing w:line="360" w:lineRule="auto"/>
        <w:ind w:firstLine="437"/>
        <w:rPr>
          <w:rFonts w:ascii="宋体" w:hAnsi="宋体"/>
          <w:szCs w:val="21"/>
        </w:rPr>
      </w:pPr>
      <w:r>
        <w:rPr>
          <w:rFonts w:hint="eastAsia" w:ascii="宋体" w:hAnsi="宋体"/>
          <w:szCs w:val="21"/>
        </w:rPr>
        <w:t>⑴ 当交流、直流或不同电压等级的插座安装在同一场所时，应有明显区别，且必须选择不同结构、不同规格和不能互换的插座，配套的插头应按交流、直流或不同电压等级区别使用。</w:t>
      </w:r>
    </w:p>
    <w:p>
      <w:pPr>
        <w:spacing w:line="360" w:lineRule="auto"/>
        <w:ind w:firstLine="437"/>
        <w:rPr>
          <w:rFonts w:ascii="宋体" w:hAnsi="宋体"/>
          <w:szCs w:val="21"/>
        </w:rPr>
      </w:pPr>
      <w:r>
        <w:rPr>
          <w:rFonts w:hint="eastAsia" w:ascii="宋体" w:hAnsi="宋体"/>
          <w:szCs w:val="21"/>
        </w:rPr>
        <w:t>⑵ 插座接线应符合下列规定：</w:t>
      </w:r>
    </w:p>
    <w:p>
      <w:pPr>
        <w:spacing w:line="360" w:lineRule="auto"/>
        <w:ind w:firstLine="437"/>
        <w:rPr>
          <w:rFonts w:ascii="宋体" w:hAnsi="宋体"/>
          <w:szCs w:val="21"/>
        </w:rPr>
      </w:pPr>
      <w:r>
        <w:rPr>
          <w:rFonts w:hint="eastAsia" w:ascii="宋体" w:hAnsi="宋体"/>
          <w:szCs w:val="21"/>
        </w:rPr>
        <w:t>① 单相三孔插座：面对插座的右孔和上孔与相线连接，左孔或下孔与零线连接；单相两孔插座：面对插座的右孔与相线连接，左孔与零线连接。</w:t>
      </w:r>
    </w:p>
    <w:p>
      <w:pPr>
        <w:spacing w:line="360" w:lineRule="auto"/>
        <w:ind w:firstLine="437"/>
        <w:rPr>
          <w:rFonts w:ascii="宋体" w:hAnsi="宋体"/>
          <w:szCs w:val="21"/>
        </w:rPr>
      </w:pPr>
      <w:r>
        <w:rPr>
          <w:rFonts w:hint="eastAsia" w:ascii="宋体" w:hAnsi="宋体"/>
          <w:szCs w:val="21"/>
        </w:rPr>
        <w:t>② 单相三孔、三相四孔及三相五孔插座的接地（PE）或接零（PEN）接线在上孔。插座的接地端子不与零线端子连接。同一场所的三相插座、接线的相序一致。</w:t>
      </w:r>
    </w:p>
    <w:p>
      <w:pPr>
        <w:spacing w:line="360" w:lineRule="auto"/>
        <w:ind w:firstLine="437"/>
        <w:rPr>
          <w:rFonts w:ascii="宋体" w:hAnsi="宋体"/>
          <w:szCs w:val="21"/>
        </w:rPr>
      </w:pPr>
      <w:r>
        <w:rPr>
          <w:rFonts w:hint="eastAsia" w:ascii="宋体" w:hAnsi="宋体"/>
          <w:szCs w:val="21"/>
        </w:rPr>
        <w:t>③ 接地（PE）或接零（PEN）线在插座中不串联连接。</w:t>
      </w:r>
    </w:p>
    <w:p>
      <w:pPr>
        <w:spacing w:line="360" w:lineRule="auto"/>
        <w:ind w:firstLine="437"/>
        <w:rPr>
          <w:rFonts w:ascii="宋体" w:hAnsi="宋体"/>
          <w:szCs w:val="21"/>
        </w:rPr>
      </w:pPr>
      <w:r>
        <w:rPr>
          <w:rFonts w:hint="eastAsia" w:ascii="宋体" w:hAnsi="宋体"/>
          <w:szCs w:val="21"/>
        </w:rPr>
        <w:t>⑶ 当插座用于有触电危险的家用电器时，采用能断开电源的带开关插座，开关断开相线。</w:t>
      </w:r>
    </w:p>
    <w:p>
      <w:pPr>
        <w:spacing w:line="360" w:lineRule="auto"/>
        <w:ind w:firstLine="437"/>
        <w:rPr>
          <w:rFonts w:ascii="宋体" w:hAnsi="宋体"/>
          <w:szCs w:val="21"/>
        </w:rPr>
      </w:pPr>
      <w:r>
        <w:rPr>
          <w:rFonts w:hint="eastAsia" w:ascii="宋体" w:hAnsi="宋体"/>
          <w:szCs w:val="21"/>
        </w:rPr>
        <w:t>⑷ 潮湿场所采用密封型并带保护地线触头的保护型插座，安装高度不低于1.5m。</w:t>
      </w:r>
    </w:p>
    <w:p>
      <w:pPr>
        <w:spacing w:line="360" w:lineRule="auto"/>
        <w:ind w:firstLine="437"/>
        <w:rPr>
          <w:rFonts w:ascii="宋体" w:hAnsi="宋体"/>
          <w:szCs w:val="21"/>
        </w:rPr>
      </w:pPr>
      <w:r>
        <w:rPr>
          <w:rFonts w:hint="eastAsia" w:ascii="宋体" w:hAnsi="宋体"/>
          <w:szCs w:val="21"/>
        </w:rPr>
        <w:t>⑸ 照明开关安装应符合下列规定：</w:t>
      </w:r>
    </w:p>
    <w:p>
      <w:pPr>
        <w:spacing w:line="360" w:lineRule="auto"/>
        <w:ind w:firstLine="437"/>
        <w:rPr>
          <w:rFonts w:ascii="宋体" w:hAnsi="宋体"/>
          <w:szCs w:val="21"/>
        </w:rPr>
      </w:pPr>
      <w:r>
        <w:rPr>
          <w:rFonts w:hint="eastAsia" w:ascii="宋体" w:hAnsi="宋体"/>
          <w:szCs w:val="21"/>
        </w:rPr>
        <w:t>① 相线经开关控制。</w:t>
      </w:r>
    </w:p>
    <w:p>
      <w:pPr>
        <w:spacing w:line="360" w:lineRule="auto"/>
        <w:ind w:firstLine="437"/>
        <w:rPr>
          <w:rFonts w:ascii="宋体" w:hAnsi="宋体"/>
          <w:szCs w:val="21"/>
        </w:rPr>
      </w:pPr>
      <w:r>
        <w:rPr>
          <w:rFonts w:hint="eastAsia" w:ascii="宋体" w:hAnsi="宋体"/>
          <w:szCs w:val="21"/>
        </w:rPr>
        <w:t>② 同一建筑物的开关采用同一系列产品，开关通断位置一致，操作灵活，接触可靠。</w:t>
      </w:r>
    </w:p>
    <w:p>
      <w:pPr>
        <w:spacing w:line="360" w:lineRule="auto"/>
        <w:ind w:firstLine="437"/>
        <w:rPr>
          <w:rFonts w:ascii="宋体" w:hAnsi="宋体"/>
          <w:szCs w:val="21"/>
        </w:rPr>
      </w:pPr>
      <w:r>
        <w:rPr>
          <w:rFonts w:hint="eastAsia" w:ascii="宋体" w:hAnsi="宋体"/>
          <w:szCs w:val="21"/>
        </w:rPr>
        <w:t>③ 开关的安装位置便于操作，开关边缘距门框边缘距离0.15～0.2m；开关距地高度1.3m。</w:t>
      </w:r>
    </w:p>
    <w:p>
      <w:pPr>
        <w:spacing w:line="360" w:lineRule="auto"/>
        <w:ind w:firstLine="437"/>
        <w:rPr>
          <w:rFonts w:ascii="宋体" w:hAnsi="宋体"/>
          <w:szCs w:val="21"/>
        </w:rPr>
      </w:pPr>
      <w:r>
        <w:rPr>
          <w:rFonts w:hint="eastAsia" w:ascii="宋体" w:hAnsi="宋体"/>
          <w:szCs w:val="21"/>
        </w:rPr>
        <w:t>④ 相同型号并列安装及同一室内开关安装高度一致，且控制有序不错位。</w:t>
      </w:r>
    </w:p>
    <w:p>
      <w:pPr>
        <w:spacing w:line="360" w:lineRule="auto"/>
        <w:ind w:firstLine="437"/>
        <w:rPr>
          <w:rFonts w:ascii="宋体" w:hAnsi="宋体"/>
          <w:szCs w:val="21"/>
        </w:rPr>
      </w:pPr>
      <w:r>
        <w:rPr>
          <w:rFonts w:hint="eastAsia" w:ascii="宋体" w:hAnsi="宋体"/>
          <w:szCs w:val="21"/>
        </w:rPr>
        <w:t>⑤ 暗装的开关面板应紧贴墙面，四周无缝隙，安装牢固，表面光滑整洁，无破碎划伤，装饰帽齐全。</w:t>
      </w:r>
    </w:p>
    <w:p>
      <w:pPr>
        <w:spacing w:line="360" w:lineRule="auto"/>
        <w:ind w:firstLine="437"/>
        <w:rPr>
          <w:rFonts w:ascii="宋体" w:hAnsi="宋体"/>
          <w:szCs w:val="21"/>
        </w:rPr>
      </w:pPr>
      <w:r>
        <w:rPr>
          <w:rFonts w:hint="eastAsia" w:ascii="宋体" w:hAnsi="宋体"/>
          <w:szCs w:val="21"/>
        </w:rPr>
        <w:t>⑹ 卫生间排气扇的安装</w:t>
      </w:r>
    </w:p>
    <w:p>
      <w:pPr>
        <w:spacing w:line="360" w:lineRule="auto"/>
        <w:ind w:firstLine="437"/>
        <w:rPr>
          <w:rFonts w:ascii="宋体" w:hAnsi="宋体"/>
          <w:szCs w:val="21"/>
        </w:rPr>
      </w:pPr>
      <w:r>
        <w:rPr>
          <w:rFonts w:hint="eastAsia" w:ascii="宋体" w:hAnsi="宋体"/>
          <w:szCs w:val="21"/>
        </w:rPr>
        <w:t>① 排气扇要固定牢固、可靠，防护罩扣紧，固定可靠，当运转时扇叶和防护罩无明显颤动和异常声响。</w:t>
      </w:r>
    </w:p>
    <w:p>
      <w:pPr>
        <w:spacing w:line="360" w:lineRule="auto"/>
        <w:ind w:firstLine="437"/>
        <w:rPr>
          <w:rFonts w:ascii="宋体" w:hAnsi="宋体"/>
          <w:szCs w:val="21"/>
        </w:rPr>
      </w:pPr>
      <w:r>
        <w:rPr>
          <w:rFonts w:hint="eastAsia" w:ascii="宋体" w:hAnsi="宋体"/>
          <w:szCs w:val="21"/>
        </w:rPr>
        <w:t>② 安装高度下侧边缘不小于1.8m。</w:t>
      </w:r>
    </w:p>
    <w:p>
      <w:pPr>
        <w:spacing w:line="360" w:lineRule="auto"/>
        <w:ind w:firstLine="437"/>
        <w:rPr>
          <w:rFonts w:ascii="宋体" w:hAnsi="宋体"/>
          <w:szCs w:val="21"/>
        </w:rPr>
      </w:pPr>
      <w:r>
        <w:rPr>
          <w:rFonts w:hint="eastAsia" w:ascii="宋体" w:hAnsi="宋体"/>
          <w:szCs w:val="21"/>
        </w:rPr>
        <w:t>风扇绝缘电阻符合要求，安装牢固、可靠，运转正常。</w:t>
      </w:r>
    </w:p>
    <w:p>
      <w:pPr>
        <w:spacing w:line="360" w:lineRule="auto"/>
        <w:ind w:firstLine="437"/>
        <w:rPr>
          <w:rFonts w:ascii="宋体" w:hAnsi="宋体"/>
          <w:szCs w:val="21"/>
        </w:rPr>
      </w:pPr>
    </w:p>
    <w:p>
      <w:pPr>
        <w:spacing w:line="360" w:lineRule="auto"/>
        <w:jc w:val="center"/>
        <w:rPr>
          <w:rFonts w:ascii="黑体" w:eastAsia="黑体"/>
          <w:b/>
          <w:szCs w:val="21"/>
        </w:rPr>
      </w:pPr>
      <w:r>
        <w:rPr>
          <w:rFonts w:hint="eastAsia" w:ascii="黑体" w:eastAsia="黑体"/>
          <w:b/>
          <w:szCs w:val="21"/>
        </w:rPr>
        <w:t>第三节   防雷接地</w:t>
      </w:r>
    </w:p>
    <w:p>
      <w:pPr>
        <w:spacing w:line="360" w:lineRule="auto"/>
        <w:ind w:firstLine="437"/>
        <w:rPr>
          <w:rFonts w:ascii="宋体" w:hAnsi="宋体"/>
          <w:szCs w:val="21"/>
        </w:rPr>
      </w:pPr>
      <w:r>
        <w:rPr>
          <w:rFonts w:hint="eastAsia" w:ascii="宋体" w:hAnsi="宋体"/>
          <w:szCs w:val="21"/>
        </w:rPr>
        <w:t>一、基本要求</w:t>
      </w:r>
    </w:p>
    <w:p>
      <w:pPr>
        <w:spacing w:line="360" w:lineRule="auto"/>
        <w:ind w:firstLine="437"/>
        <w:rPr>
          <w:rFonts w:ascii="宋体" w:hAnsi="宋体"/>
          <w:szCs w:val="21"/>
        </w:rPr>
      </w:pPr>
      <w:r>
        <w:rPr>
          <w:rFonts w:hint="eastAsia" w:ascii="宋体" w:hAnsi="宋体"/>
          <w:szCs w:val="21"/>
        </w:rPr>
        <w:t>1、接地极、避雷用型钢等镀锌制品应符合设计要求，镀锌厂家应出具镀锌质量证明书，外观检查镀锌层覆盖完整，表面无锈斑，金具配件齐全，无砂眼。</w:t>
      </w:r>
    </w:p>
    <w:p>
      <w:pPr>
        <w:spacing w:line="360" w:lineRule="auto"/>
        <w:ind w:firstLine="437"/>
        <w:rPr>
          <w:rFonts w:ascii="宋体" w:hAnsi="宋体"/>
          <w:szCs w:val="21"/>
        </w:rPr>
      </w:pPr>
      <w:r>
        <w:rPr>
          <w:rFonts w:hint="eastAsia" w:ascii="宋体" w:hAnsi="宋体"/>
          <w:szCs w:val="21"/>
        </w:rPr>
        <w:t>2、建筑物基础钢筋的接地装置必须在地面以上按设计要求位置设测试点。</w:t>
      </w:r>
    </w:p>
    <w:p>
      <w:pPr>
        <w:spacing w:line="360" w:lineRule="auto"/>
        <w:ind w:firstLine="437"/>
        <w:rPr>
          <w:rFonts w:ascii="宋体" w:hAnsi="宋体"/>
          <w:szCs w:val="21"/>
        </w:rPr>
      </w:pPr>
      <w:r>
        <w:rPr>
          <w:rFonts w:hint="eastAsia" w:ascii="宋体" w:hAnsi="宋体"/>
          <w:szCs w:val="21"/>
        </w:rPr>
        <w:t>3、接地装置的焊接应采用搭接焊，搭接长度应符合下列规定：</w:t>
      </w:r>
    </w:p>
    <w:p>
      <w:pPr>
        <w:spacing w:line="360" w:lineRule="auto"/>
        <w:ind w:firstLine="437"/>
        <w:rPr>
          <w:rFonts w:ascii="宋体" w:hAnsi="宋体"/>
          <w:szCs w:val="21"/>
        </w:rPr>
      </w:pPr>
      <w:r>
        <w:rPr>
          <w:rFonts w:hint="eastAsia" w:ascii="宋体" w:hAnsi="宋体"/>
          <w:szCs w:val="21"/>
        </w:rPr>
        <w:t>⑴ 扁钢与扁钢搭接为扁钢宽度的2倍，不少于三面焊接。</w:t>
      </w:r>
    </w:p>
    <w:p>
      <w:pPr>
        <w:spacing w:line="360" w:lineRule="auto"/>
        <w:ind w:firstLine="437"/>
        <w:rPr>
          <w:rFonts w:ascii="宋体" w:hAnsi="宋体"/>
          <w:szCs w:val="21"/>
        </w:rPr>
      </w:pPr>
      <w:r>
        <w:rPr>
          <w:rFonts w:hint="eastAsia" w:ascii="宋体" w:hAnsi="宋体"/>
          <w:szCs w:val="21"/>
        </w:rPr>
        <w:t>⑵ 园钢与园钢搭接为园钢直径的6倍，双面焊接。</w:t>
      </w:r>
    </w:p>
    <w:p>
      <w:pPr>
        <w:spacing w:line="360" w:lineRule="auto"/>
        <w:ind w:firstLine="437"/>
        <w:rPr>
          <w:rFonts w:ascii="宋体" w:hAnsi="宋体"/>
          <w:szCs w:val="21"/>
        </w:rPr>
      </w:pPr>
      <w:r>
        <w:rPr>
          <w:rFonts w:hint="eastAsia" w:ascii="宋体" w:hAnsi="宋体"/>
          <w:szCs w:val="21"/>
        </w:rPr>
        <w:t>⑶ 扁钢与钢管、扁钢与角钢焊接紧贴角钢外侧两面，或紧贴3/4钢管表面，上、下两侧焊接。</w:t>
      </w:r>
    </w:p>
    <w:p>
      <w:pPr>
        <w:spacing w:line="360" w:lineRule="auto"/>
        <w:ind w:firstLine="437"/>
        <w:rPr>
          <w:rFonts w:ascii="宋体" w:hAnsi="宋体"/>
          <w:szCs w:val="21"/>
        </w:rPr>
      </w:pPr>
      <w:r>
        <w:rPr>
          <w:rFonts w:hint="eastAsia" w:ascii="宋体" w:hAnsi="宋体"/>
          <w:szCs w:val="21"/>
        </w:rPr>
        <w:t>⑷ 园钢与扁钢搭接为园钢直径的6倍，双面焊接。</w:t>
      </w:r>
    </w:p>
    <w:p>
      <w:pPr>
        <w:spacing w:line="360" w:lineRule="auto"/>
        <w:ind w:firstLine="437"/>
        <w:rPr>
          <w:rFonts w:ascii="宋体" w:hAnsi="宋体"/>
          <w:szCs w:val="21"/>
        </w:rPr>
      </w:pPr>
      <w:r>
        <w:rPr>
          <w:rFonts w:hint="eastAsia" w:ascii="宋体" w:hAnsi="宋体"/>
          <w:szCs w:val="21"/>
        </w:rPr>
        <w:t>⑸ 除埋设在混凝土中的焊接接头外，有防腐措施。</w:t>
      </w:r>
    </w:p>
    <w:p>
      <w:pPr>
        <w:spacing w:line="360" w:lineRule="auto"/>
        <w:ind w:firstLine="437"/>
        <w:rPr>
          <w:rFonts w:ascii="宋体" w:hAnsi="宋体"/>
          <w:szCs w:val="21"/>
        </w:rPr>
      </w:pPr>
      <w:r>
        <w:rPr>
          <w:rFonts w:hint="eastAsia" w:ascii="宋体" w:hAnsi="宋体"/>
          <w:szCs w:val="21"/>
        </w:rPr>
        <w:t>4、测试接地装置的接地电阻值必须符合设计要求。</w:t>
      </w:r>
    </w:p>
    <w:p>
      <w:pPr>
        <w:spacing w:line="360" w:lineRule="auto"/>
        <w:ind w:firstLine="437"/>
        <w:rPr>
          <w:rFonts w:ascii="宋体" w:hAnsi="宋体"/>
          <w:szCs w:val="21"/>
        </w:rPr>
      </w:pPr>
      <w:r>
        <w:rPr>
          <w:rFonts w:hint="eastAsia" w:ascii="宋体" w:hAnsi="宋体"/>
          <w:szCs w:val="21"/>
        </w:rPr>
        <w:t>5、设计要求接地的幕墙金属框架和建筑物的金属门窗，应就近与接地干线连接可靠，连接处不同金属间应有防电化腐蚀措施。</w:t>
      </w:r>
    </w:p>
    <w:p>
      <w:pPr>
        <w:spacing w:line="360" w:lineRule="auto"/>
        <w:ind w:firstLine="437"/>
        <w:rPr>
          <w:rFonts w:ascii="宋体" w:hAnsi="宋体"/>
          <w:szCs w:val="21"/>
        </w:rPr>
      </w:pPr>
      <w:r>
        <w:rPr>
          <w:rFonts w:hint="eastAsia" w:ascii="宋体" w:hAnsi="宋体"/>
          <w:szCs w:val="21"/>
        </w:rPr>
        <w:t>6、建筑物防雷接地安装完毕后应进行测试。一般要求做两次测试。对于利用建筑物基础作接地装置时，一次是建筑物底板钢筋绑扎完毕，接地装置连接焊接安装完毕，做一次接地电阻测试。另一次则为屋顶避雷针、避雷带施工完毕，整个避雷系统连接完成后进行，接地电阻值应符合设计要求。</w:t>
      </w:r>
    </w:p>
    <w:p>
      <w:pPr>
        <w:spacing w:line="360" w:lineRule="auto"/>
        <w:ind w:firstLine="437"/>
        <w:rPr>
          <w:rFonts w:ascii="宋体" w:hAnsi="宋体"/>
          <w:szCs w:val="21"/>
        </w:rPr>
      </w:pPr>
    </w:p>
    <w:p>
      <w:pPr>
        <w:spacing w:line="360" w:lineRule="auto"/>
        <w:ind w:firstLine="437"/>
        <w:rPr>
          <w:rFonts w:ascii="宋体" w:hAnsi="宋体"/>
          <w:szCs w:val="21"/>
        </w:rPr>
      </w:pPr>
      <w:r>
        <w:rPr>
          <w:rFonts w:hint="eastAsia" w:ascii="宋体" w:hAnsi="宋体"/>
          <w:szCs w:val="21"/>
        </w:rPr>
        <w:t>二、避雷引下线和变配电室接地干线的敷设</w:t>
      </w:r>
    </w:p>
    <w:p>
      <w:pPr>
        <w:spacing w:line="360" w:lineRule="auto"/>
        <w:ind w:firstLine="437"/>
        <w:rPr>
          <w:rFonts w:ascii="宋体" w:hAnsi="宋体"/>
          <w:szCs w:val="21"/>
        </w:rPr>
      </w:pPr>
      <w:r>
        <w:rPr>
          <w:rFonts w:hint="eastAsia" w:ascii="宋体" w:hAnsi="宋体"/>
          <w:szCs w:val="21"/>
        </w:rPr>
        <w:t>1、暗敷在建筑物抹灰层内的引下线应有卡钉分段固定；明敷的引下线应平直，无急弯，与支架焊接处，油漆防腐，无遗漏。</w:t>
      </w:r>
    </w:p>
    <w:p>
      <w:pPr>
        <w:spacing w:line="360" w:lineRule="auto"/>
        <w:ind w:firstLine="437"/>
        <w:rPr>
          <w:rFonts w:ascii="宋体" w:hAnsi="宋体"/>
          <w:szCs w:val="21"/>
        </w:rPr>
      </w:pPr>
      <w:r>
        <w:rPr>
          <w:rFonts w:hint="eastAsia" w:ascii="宋体" w:hAnsi="宋体"/>
          <w:szCs w:val="21"/>
        </w:rPr>
        <w:t>2、变压器室、高低压开关室内的接地干线应有不少于2处与接地装置引出干线连接。</w:t>
      </w:r>
    </w:p>
    <w:p>
      <w:pPr>
        <w:spacing w:line="360" w:lineRule="auto"/>
        <w:ind w:firstLine="437"/>
        <w:rPr>
          <w:rFonts w:ascii="宋体" w:hAnsi="宋体"/>
          <w:szCs w:val="21"/>
        </w:rPr>
      </w:pPr>
      <w:r>
        <w:rPr>
          <w:rFonts w:hint="eastAsia" w:ascii="宋体" w:hAnsi="宋体"/>
          <w:szCs w:val="21"/>
        </w:rPr>
        <w:t>3、钢制接地线的焊接和接地装置的焊接规范要求相同，材料选用和最小允许规格、尺寸应符合设计要求。</w:t>
      </w:r>
    </w:p>
    <w:p>
      <w:pPr>
        <w:spacing w:line="360" w:lineRule="auto"/>
        <w:ind w:firstLine="437"/>
        <w:rPr>
          <w:rFonts w:ascii="宋体" w:hAnsi="宋体"/>
          <w:szCs w:val="21"/>
        </w:rPr>
      </w:pPr>
      <w:r>
        <w:rPr>
          <w:rFonts w:hint="eastAsia" w:ascii="宋体" w:hAnsi="宋体"/>
          <w:szCs w:val="21"/>
        </w:rPr>
        <w:t>4、明敷接地引下线及室内接地干线的支持件间距应均匀，水平直线部分</w:t>
      </w:r>
      <w:r>
        <w:rPr>
          <w:rFonts w:ascii="宋体" w:hAnsi="宋体"/>
          <w:szCs w:val="21"/>
        </w:rPr>
        <w:t>0.5</w:t>
      </w:r>
      <w:r>
        <w:rPr>
          <w:rFonts w:hint="eastAsia" w:ascii="宋体" w:hAnsi="宋体"/>
          <w:szCs w:val="21"/>
        </w:rPr>
        <w:t>～</w:t>
      </w:r>
      <w:r>
        <w:rPr>
          <w:rFonts w:ascii="宋体" w:hAnsi="宋体"/>
          <w:szCs w:val="21"/>
        </w:rPr>
        <w:t>1.5m</w:t>
      </w:r>
      <w:r>
        <w:rPr>
          <w:rFonts w:hint="eastAsia" w:ascii="宋体" w:hAnsi="宋体"/>
          <w:szCs w:val="21"/>
        </w:rPr>
        <w:t>；垂直部分</w:t>
      </w:r>
      <w:r>
        <w:rPr>
          <w:rFonts w:ascii="宋体" w:hAnsi="宋体"/>
          <w:szCs w:val="21"/>
        </w:rPr>
        <w:t>1.5</w:t>
      </w:r>
      <w:r>
        <w:rPr>
          <w:rFonts w:hint="eastAsia" w:ascii="宋体" w:hAnsi="宋体"/>
          <w:szCs w:val="21"/>
        </w:rPr>
        <w:t>～3</w:t>
      </w:r>
      <w:r>
        <w:rPr>
          <w:rFonts w:ascii="宋体" w:hAnsi="宋体"/>
          <w:szCs w:val="21"/>
        </w:rPr>
        <w:t>m</w:t>
      </w:r>
      <w:r>
        <w:rPr>
          <w:rFonts w:hint="eastAsia" w:ascii="宋体" w:hAnsi="宋体"/>
          <w:szCs w:val="21"/>
        </w:rPr>
        <w:t>；弯曲部分</w:t>
      </w:r>
      <w:r>
        <w:rPr>
          <w:rFonts w:ascii="宋体" w:hAnsi="宋体"/>
          <w:szCs w:val="21"/>
        </w:rPr>
        <w:t>0.3</w:t>
      </w:r>
      <w:r>
        <w:rPr>
          <w:rFonts w:hint="eastAsia" w:ascii="宋体" w:hAnsi="宋体"/>
          <w:szCs w:val="21"/>
        </w:rPr>
        <w:t>～</w:t>
      </w:r>
      <w:r>
        <w:rPr>
          <w:rFonts w:ascii="宋体" w:hAnsi="宋体"/>
          <w:szCs w:val="21"/>
        </w:rPr>
        <w:t>0.5m</w:t>
      </w:r>
      <w:r>
        <w:rPr>
          <w:rFonts w:hint="eastAsia" w:ascii="宋体" w:hAnsi="宋体"/>
          <w:szCs w:val="21"/>
        </w:rPr>
        <w:t>。</w:t>
      </w:r>
    </w:p>
    <w:p>
      <w:pPr>
        <w:spacing w:line="360" w:lineRule="auto"/>
        <w:ind w:firstLine="437"/>
        <w:rPr>
          <w:rFonts w:ascii="宋体" w:hAnsi="宋体"/>
          <w:szCs w:val="21"/>
        </w:rPr>
      </w:pPr>
      <w:r>
        <w:rPr>
          <w:rFonts w:hint="eastAsia" w:ascii="宋体" w:hAnsi="宋体"/>
          <w:szCs w:val="21"/>
        </w:rPr>
        <w:t>5、接地线在穿越墙壁、楼板和地坪处应加套钢管或其它坚固的保护套管，钢套管应与接地线做电气连通。</w:t>
      </w:r>
    </w:p>
    <w:p>
      <w:pPr>
        <w:spacing w:line="360" w:lineRule="auto"/>
        <w:ind w:firstLine="437"/>
        <w:rPr>
          <w:rFonts w:ascii="宋体" w:hAnsi="宋体"/>
          <w:szCs w:val="21"/>
        </w:rPr>
      </w:pPr>
      <w:r>
        <w:rPr>
          <w:rFonts w:hint="eastAsia" w:ascii="宋体" w:hAnsi="宋体"/>
          <w:szCs w:val="21"/>
        </w:rPr>
        <w:t>三、变配电室内明敷接地干线的安装</w:t>
      </w:r>
    </w:p>
    <w:p>
      <w:pPr>
        <w:spacing w:line="360" w:lineRule="auto"/>
        <w:ind w:firstLine="437"/>
        <w:rPr>
          <w:rFonts w:ascii="宋体" w:hAnsi="宋体"/>
          <w:szCs w:val="21"/>
        </w:rPr>
      </w:pPr>
      <w:r>
        <w:rPr>
          <w:rFonts w:hint="eastAsia" w:ascii="宋体" w:hAnsi="宋体"/>
          <w:szCs w:val="21"/>
        </w:rPr>
        <w:t>1、应安装在便于检查，敷设位置不妨碍设备的拆卸与检修的位置。</w:t>
      </w:r>
    </w:p>
    <w:p>
      <w:pPr>
        <w:spacing w:line="360" w:lineRule="auto"/>
        <w:ind w:firstLine="437"/>
        <w:rPr>
          <w:rFonts w:ascii="宋体" w:hAnsi="宋体"/>
          <w:szCs w:val="21"/>
        </w:rPr>
      </w:pPr>
      <w:r>
        <w:rPr>
          <w:rFonts w:hint="eastAsia" w:ascii="宋体" w:hAnsi="宋体"/>
          <w:szCs w:val="21"/>
        </w:rPr>
        <w:t>2、当沿墙壁水平敷设时，距地面高度</w:t>
      </w:r>
      <w:r>
        <w:rPr>
          <w:rFonts w:ascii="宋体" w:hAnsi="宋体"/>
          <w:szCs w:val="21"/>
        </w:rPr>
        <w:t>250</w:t>
      </w:r>
      <w:r>
        <w:rPr>
          <w:rFonts w:hint="eastAsia" w:ascii="宋体" w:hAnsi="宋体"/>
          <w:szCs w:val="21"/>
        </w:rPr>
        <w:t>～</w:t>
      </w:r>
      <w:r>
        <w:rPr>
          <w:rFonts w:ascii="宋体" w:hAnsi="宋体"/>
          <w:szCs w:val="21"/>
        </w:rPr>
        <w:t>300mm</w:t>
      </w:r>
      <w:r>
        <w:rPr>
          <w:rFonts w:hint="eastAsia" w:ascii="宋体" w:hAnsi="宋体"/>
          <w:szCs w:val="21"/>
        </w:rPr>
        <w:t>；与墙壁的间隙</w:t>
      </w:r>
      <w:r>
        <w:rPr>
          <w:rFonts w:ascii="宋体" w:hAnsi="宋体"/>
          <w:szCs w:val="21"/>
        </w:rPr>
        <w:t>10</w:t>
      </w:r>
      <w:r>
        <w:rPr>
          <w:rFonts w:hint="eastAsia" w:ascii="宋体" w:hAnsi="宋体"/>
          <w:szCs w:val="21"/>
        </w:rPr>
        <w:t>～15</w:t>
      </w:r>
      <w:r>
        <w:rPr>
          <w:rFonts w:ascii="宋体" w:hAnsi="宋体"/>
          <w:szCs w:val="21"/>
        </w:rPr>
        <w:t>mm</w:t>
      </w:r>
      <w:r>
        <w:rPr>
          <w:rFonts w:hint="eastAsia" w:ascii="宋体" w:hAnsi="宋体"/>
          <w:szCs w:val="21"/>
        </w:rPr>
        <w:t>。</w:t>
      </w:r>
    </w:p>
    <w:p>
      <w:pPr>
        <w:spacing w:line="360" w:lineRule="auto"/>
        <w:ind w:firstLine="437"/>
        <w:rPr>
          <w:rFonts w:ascii="宋体" w:hAnsi="宋体"/>
          <w:szCs w:val="21"/>
        </w:rPr>
      </w:pPr>
      <w:r>
        <w:rPr>
          <w:rFonts w:hint="eastAsia" w:ascii="宋体" w:hAnsi="宋体"/>
          <w:szCs w:val="21"/>
        </w:rPr>
        <w:t>3、当接地线跨越变形缝时，设补偿装置。</w:t>
      </w:r>
    </w:p>
    <w:p>
      <w:pPr>
        <w:spacing w:line="360" w:lineRule="auto"/>
        <w:ind w:firstLine="437"/>
        <w:rPr>
          <w:rFonts w:ascii="宋体" w:hAnsi="宋体"/>
          <w:szCs w:val="21"/>
        </w:rPr>
      </w:pPr>
      <w:r>
        <w:rPr>
          <w:rFonts w:hint="eastAsia" w:ascii="宋体" w:hAnsi="宋体"/>
          <w:szCs w:val="21"/>
        </w:rPr>
        <w:t>4、接地线表面沿长度方向，每段为</w:t>
      </w:r>
      <w:r>
        <w:rPr>
          <w:rFonts w:ascii="宋体" w:hAnsi="宋体"/>
          <w:szCs w:val="21"/>
        </w:rPr>
        <w:t>1</w:t>
      </w:r>
      <w:r>
        <w:rPr>
          <w:rFonts w:hint="eastAsia" w:ascii="宋体" w:hAnsi="宋体"/>
          <w:szCs w:val="21"/>
        </w:rPr>
        <w:t>5～</w:t>
      </w:r>
      <w:r>
        <w:rPr>
          <w:rFonts w:ascii="宋体" w:hAnsi="宋体"/>
          <w:szCs w:val="21"/>
        </w:rPr>
        <w:t>100mm</w:t>
      </w:r>
      <w:r>
        <w:rPr>
          <w:rFonts w:hint="eastAsia" w:ascii="宋体" w:hAnsi="宋体"/>
          <w:szCs w:val="21"/>
        </w:rPr>
        <w:t>，分别涂以黄色与绿色相间的条纹。</w:t>
      </w:r>
    </w:p>
    <w:p>
      <w:pPr>
        <w:spacing w:line="360" w:lineRule="auto"/>
        <w:ind w:firstLine="437"/>
        <w:rPr>
          <w:rFonts w:ascii="宋体" w:hAnsi="宋体"/>
          <w:szCs w:val="21"/>
        </w:rPr>
      </w:pPr>
      <w:r>
        <w:rPr>
          <w:rFonts w:hint="eastAsia" w:ascii="宋体" w:hAnsi="宋体"/>
          <w:szCs w:val="21"/>
        </w:rPr>
        <w:t>5、变压器室、高压配电室的接地干线上应设置不少于2个供临时接地用的接线柱或接地螺栓。</w:t>
      </w:r>
    </w:p>
    <w:p>
      <w:pPr>
        <w:spacing w:line="360" w:lineRule="auto"/>
        <w:ind w:firstLine="437"/>
        <w:rPr>
          <w:rFonts w:ascii="宋体" w:hAnsi="宋体"/>
          <w:szCs w:val="21"/>
        </w:rPr>
      </w:pPr>
      <w:r>
        <w:rPr>
          <w:rFonts w:hint="eastAsia" w:ascii="宋体" w:hAnsi="宋体"/>
          <w:szCs w:val="21"/>
        </w:rPr>
        <w:t>6、当电缆穿过零序电流互感器时，电缆头的接地线应通过零序电流互感器后接地；由电缆头至穿过零序电流互感器的一段电缆金属护层和接地线应对地绝缘。</w:t>
      </w:r>
    </w:p>
    <w:p>
      <w:pPr>
        <w:spacing w:line="360" w:lineRule="auto"/>
        <w:ind w:firstLine="437"/>
        <w:rPr>
          <w:rFonts w:ascii="宋体" w:hAnsi="宋体"/>
          <w:szCs w:val="21"/>
        </w:rPr>
      </w:pPr>
      <w:r>
        <w:rPr>
          <w:rFonts w:hint="eastAsia" w:ascii="宋体" w:hAnsi="宋体"/>
          <w:szCs w:val="21"/>
        </w:rPr>
        <w:t>7、配电间隔和静止补偿装置的栅栏门及变配电室金属门铰链处的接地连接，应采用编织铜线。变配电室的避雷器应用最短的接地线与接地干线连接。</w:t>
      </w:r>
    </w:p>
    <w:p>
      <w:pPr>
        <w:spacing w:line="360" w:lineRule="auto"/>
        <w:ind w:firstLine="437"/>
        <w:rPr>
          <w:rFonts w:ascii="宋体" w:hAnsi="宋体"/>
          <w:szCs w:val="21"/>
        </w:rPr>
      </w:pPr>
    </w:p>
    <w:p>
      <w:pPr>
        <w:spacing w:line="360" w:lineRule="auto"/>
        <w:ind w:firstLine="437"/>
        <w:rPr>
          <w:rFonts w:ascii="宋体" w:hAnsi="宋体"/>
          <w:szCs w:val="21"/>
        </w:rPr>
      </w:pPr>
      <w:r>
        <w:rPr>
          <w:rFonts w:hint="eastAsia" w:ascii="宋体" w:hAnsi="宋体"/>
          <w:szCs w:val="21"/>
        </w:rPr>
        <w:t>四、接闪器的安装</w:t>
      </w:r>
    </w:p>
    <w:p>
      <w:pPr>
        <w:spacing w:line="360" w:lineRule="auto"/>
        <w:ind w:firstLine="437"/>
        <w:rPr>
          <w:rFonts w:ascii="宋体" w:hAnsi="宋体"/>
          <w:szCs w:val="21"/>
        </w:rPr>
      </w:pPr>
      <w:r>
        <w:rPr>
          <w:rFonts w:hint="eastAsia" w:ascii="宋体" w:hAnsi="宋体"/>
          <w:szCs w:val="21"/>
        </w:rPr>
        <w:t>1、建筑物顶部的避雷针、避雷带等必须与顶部外露的其它金属物体连成一个整体的电气通路，且与避雷引下线连接可靠。</w:t>
      </w:r>
    </w:p>
    <w:p>
      <w:pPr>
        <w:spacing w:line="360" w:lineRule="auto"/>
        <w:ind w:firstLine="437"/>
        <w:rPr>
          <w:rFonts w:ascii="宋体" w:hAnsi="宋体"/>
          <w:szCs w:val="21"/>
        </w:rPr>
      </w:pPr>
      <w:r>
        <w:rPr>
          <w:rFonts w:hint="eastAsia" w:ascii="宋体" w:hAnsi="宋体"/>
          <w:szCs w:val="21"/>
        </w:rPr>
        <w:t>2、避雷针、避雷带应位置正确，焊接固定的焊缝饱满无遗漏，螺栓固定的应备帽等防松零件齐全，焊接部分补刷的防腐油漆完整。</w:t>
      </w:r>
    </w:p>
    <w:p>
      <w:pPr>
        <w:spacing w:line="360" w:lineRule="auto"/>
        <w:ind w:firstLine="437"/>
        <w:rPr>
          <w:rFonts w:ascii="宋体" w:hAnsi="宋体"/>
          <w:szCs w:val="21"/>
        </w:rPr>
      </w:pPr>
      <w:r>
        <w:rPr>
          <w:rFonts w:hint="eastAsia" w:ascii="宋体" w:hAnsi="宋体"/>
          <w:szCs w:val="21"/>
        </w:rPr>
        <w:t>避雷带应平正顺直，固定点支持件间距均匀，固定可靠，每个支持件应能承受大于5</w:t>
      </w:r>
      <w:r>
        <w:rPr>
          <w:rFonts w:ascii="宋体" w:hAnsi="宋体"/>
          <w:szCs w:val="21"/>
        </w:rPr>
        <w:t>kg</w:t>
      </w:r>
      <w:r>
        <w:rPr>
          <w:rFonts w:hint="eastAsia" w:ascii="宋体" w:hAnsi="宋体"/>
          <w:szCs w:val="21"/>
        </w:rPr>
        <w:t>的垂直拉力。避雷带支持件的间距和明敷引下线及室内接地干线支持件间距相同。</w:t>
      </w:r>
    </w:p>
    <w:p>
      <w:pPr>
        <w:spacing w:line="360" w:lineRule="auto"/>
        <w:ind w:left="780"/>
        <w:rPr>
          <w:rFonts w:ascii="宋体" w:hAnsi="宋体"/>
          <w:szCs w:val="21"/>
        </w:rPr>
      </w:pPr>
    </w:p>
    <w:p>
      <w:pPr>
        <w:spacing w:line="360" w:lineRule="auto"/>
        <w:ind w:left="2"/>
        <w:jc w:val="center"/>
        <w:rPr>
          <w:rFonts w:ascii="黑体" w:hAnsi="宋体" w:eastAsia="黑体"/>
          <w:b/>
          <w:szCs w:val="21"/>
        </w:rPr>
      </w:pPr>
      <w:r>
        <w:rPr>
          <w:rFonts w:hint="eastAsia" w:ascii="黑体" w:hAnsi="宋体" w:eastAsia="黑体"/>
          <w:b/>
          <w:szCs w:val="21"/>
        </w:rPr>
        <w:t>第四节  等电位联结</w:t>
      </w:r>
    </w:p>
    <w:p>
      <w:pPr>
        <w:spacing w:line="360" w:lineRule="auto"/>
        <w:ind w:firstLine="437"/>
        <w:rPr>
          <w:rFonts w:ascii="宋体" w:hAnsi="宋体"/>
          <w:szCs w:val="21"/>
        </w:rPr>
      </w:pPr>
      <w:r>
        <w:rPr>
          <w:rFonts w:hint="eastAsia" w:ascii="宋体" w:hAnsi="宋体"/>
          <w:szCs w:val="21"/>
        </w:rPr>
        <w:t>等电位联结的施工按已施工图设计执行，采用型材作等电位联结时，要求用镀锌制品，镀锌厂家应出具镀锌质量证明书。</w:t>
      </w:r>
    </w:p>
    <w:p>
      <w:pPr>
        <w:spacing w:line="360" w:lineRule="auto"/>
        <w:ind w:firstLine="437"/>
        <w:rPr>
          <w:rFonts w:ascii="宋体" w:hAnsi="宋体"/>
          <w:szCs w:val="21"/>
        </w:rPr>
      </w:pPr>
      <w:r>
        <w:rPr>
          <w:rFonts w:hint="eastAsia" w:ascii="宋体" w:hAnsi="宋体"/>
          <w:szCs w:val="21"/>
        </w:rPr>
        <w:t>1、施工质量要求：</w:t>
      </w:r>
    </w:p>
    <w:p>
      <w:pPr>
        <w:spacing w:line="360" w:lineRule="auto"/>
        <w:ind w:firstLine="437"/>
        <w:rPr>
          <w:rFonts w:ascii="宋体" w:hAnsi="宋体"/>
          <w:szCs w:val="21"/>
        </w:rPr>
      </w:pPr>
      <w:r>
        <w:rPr>
          <w:rFonts w:hint="eastAsia" w:ascii="宋体" w:hAnsi="宋体"/>
          <w:szCs w:val="21"/>
        </w:rPr>
        <w:t>⑴ 建筑物等电位联结干线应从与接地装置有不少于2处直接连接的接地干线或总等电位箱引出，等电位联结干线或局部等电位箱间的连接线形成环形网路，环形网路应就近与等电位联接干线或局部等电位箱连接，支线间不应串联连接。</w:t>
      </w:r>
    </w:p>
    <w:p>
      <w:pPr>
        <w:spacing w:line="360" w:lineRule="auto"/>
        <w:ind w:firstLine="437"/>
        <w:rPr>
          <w:rFonts w:ascii="宋体" w:hAnsi="宋体"/>
          <w:szCs w:val="21"/>
        </w:rPr>
      </w:pPr>
      <w:r>
        <w:rPr>
          <w:rFonts w:hint="eastAsia" w:ascii="宋体" w:hAnsi="宋体"/>
          <w:szCs w:val="21"/>
        </w:rPr>
        <w:t>⑵ 等电位联接的线路最小允许截面型材干线为</w:t>
      </w:r>
      <w:r>
        <w:rPr>
          <w:rFonts w:ascii="宋体" w:hAnsi="宋体"/>
          <w:szCs w:val="21"/>
        </w:rPr>
        <w:t>50mm</w:t>
      </w:r>
      <w:r>
        <w:rPr>
          <w:rFonts w:hint="eastAsia" w:ascii="宋体" w:hAnsi="宋体"/>
          <w:szCs w:val="21"/>
          <w:vertAlign w:val="superscript"/>
        </w:rPr>
        <w:t>2</w:t>
      </w:r>
      <w:r>
        <w:rPr>
          <w:rFonts w:hint="eastAsia" w:ascii="宋体" w:hAnsi="宋体"/>
          <w:szCs w:val="21"/>
        </w:rPr>
        <w:t>，支线为16</w:t>
      </w:r>
      <w:r>
        <w:rPr>
          <w:rFonts w:ascii="宋体" w:hAnsi="宋体"/>
          <w:szCs w:val="21"/>
        </w:rPr>
        <w:t>mm</w:t>
      </w:r>
      <w:r>
        <w:rPr>
          <w:rFonts w:ascii="宋体" w:hAnsi="宋体"/>
          <w:szCs w:val="21"/>
          <w:vertAlign w:val="superscript"/>
        </w:rPr>
        <w:t>2</w:t>
      </w:r>
      <w:r>
        <w:rPr>
          <w:rFonts w:hint="eastAsia" w:ascii="宋体" w:hAnsi="宋体"/>
          <w:szCs w:val="21"/>
        </w:rPr>
        <w:t>。</w:t>
      </w:r>
    </w:p>
    <w:p>
      <w:pPr>
        <w:spacing w:line="360" w:lineRule="auto"/>
        <w:ind w:firstLine="437"/>
        <w:rPr>
          <w:rFonts w:ascii="宋体" w:hAnsi="宋体"/>
          <w:szCs w:val="21"/>
        </w:rPr>
      </w:pPr>
      <w:r>
        <w:rPr>
          <w:rFonts w:hint="eastAsia" w:ascii="宋体" w:hAnsi="宋体"/>
          <w:szCs w:val="21"/>
        </w:rPr>
        <w:t>⑶ 等电位联结的可接近裸露导体或其它金属部件、构件与支线连接应可靠，熔焊、钎焊或机械紧固应导通正常。</w:t>
      </w:r>
    </w:p>
    <w:p>
      <w:pPr>
        <w:spacing w:line="360" w:lineRule="auto"/>
        <w:ind w:firstLine="437"/>
        <w:rPr>
          <w:rFonts w:ascii="宋体" w:hAnsi="宋体"/>
          <w:szCs w:val="21"/>
        </w:rPr>
      </w:pPr>
      <w:r>
        <w:rPr>
          <w:rFonts w:hint="eastAsia" w:ascii="宋体" w:hAnsi="宋体"/>
          <w:szCs w:val="21"/>
        </w:rPr>
        <w:t>⑷ 需等电位联接的高级装修金属部件或零件，应有专用接线螺栓与等电位联接支线连接，且有标识；连接处螺帽紧固，防松零件齐全。</w:t>
      </w:r>
    </w:p>
    <w:p>
      <w:pPr>
        <w:spacing w:line="360" w:lineRule="auto"/>
        <w:ind w:firstLine="437"/>
        <w:rPr>
          <w:rFonts w:ascii="宋体" w:hAnsi="宋体"/>
          <w:szCs w:val="21"/>
        </w:rPr>
      </w:pPr>
      <w:r>
        <w:rPr>
          <w:rFonts w:hint="eastAsia" w:ascii="宋体" w:hAnsi="宋体"/>
          <w:szCs w:val="21"/>
        </w:rPr>
        <w:t>⑸ 等电位联结安装完毕后应进行导通性测试，测试值应符合设计和规范要求。</w:t>
      </w:r>
    </w:p>
    <w:p>
      <w:pPr>
        <w:spacing w:line="360" w:lineRule="auto"/>
        <w:rPr>
          <w:rFonts w:ascii="宋体" w:hAnsi="宋体"/>
          <w:b/>
          <w:bCs/>
          <w:szCs w:val="21"/>
        </w:rPr>
      </w:pPr>
    </w:p>
    <w:p>
      <w:pPr>
        <w:adjustRightInd w:val="0"/>
        <w:spacing w:line="360" w:lineRule="auto"/>
        <w:jc w:val="left"/>
        <w:rPr>
          <w:rFonts w:ascii="宋体" w:hAnsi="宋体"/>
          <w:b/>
          <w:bCs/>
          <w:sz w:val="30"/>
          <w:szCs w:val="30"/>
        </w:rPr>
      </w:pPr>
      <w:r>
        <w:rPr>
          <w:rFonts w:hint="eastAsia" w:ascii="宋体" w:hAnsi="宋体"/>
          <w:b/>
          <w:bCs/>
          <w:sz w:val="30"/>
          <w:szCs w:val="30"/>
        </w:rPr>
        <w:t>电气工程材料、设备技术规格表</w:t>
      </w:r>
    </w:p>
    <w:tbl>
      <w:tblPr>
        <w:tblStyle w:val="43"/>
        <w:tblW w:w="9457" w:type="dxa"/>
        <w:tblInd w:w="-25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721"/>
        <w:gridCol w:w="1441"/>
        <w:gridCol w:w="6225"/>
        <w:gridCol w:w="107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54" w:hRule="atLeast"/>
          <w:tblHeader/>
        </w:trPr>
        <w:tc>
          <w:tcPr>
            <w:tcW w:w="721" w:type="dxa"/>
            <w:vAlign w:val="center"/>
          </w:tcPr>
          <w:p>
            <w:pPr>
              <w:spacing w:line="360" w:lineRule="auto"/>
              <w:jc w:val="center"/>
              <w:rPr>
                <w:rFonts w:ascii="宋体" w:hAnsi="宋体"/>
                <w:b/>
                <w:szCs w:val="21"/>
              </w:rPr>
            </w:pPr>
            <w:r>
              <w:rPr>
                <w:rFonts w:hint="eastAsia" w:ascii="宋体" w:hAnsi="宋体"/>
                <w:b/>
                <w:szCs w:val="21"/>
              </w:rPr>
              <w:t>序号</w:t>
            </w:r>
          </w:p>
        </w:tc>
        <w:tc>
          <w:tcPr>
            <w:tcW w:w="1441" w:type="dxa"/>
            <w:vAlign w:val="center"/>
          </w:tcPr>
          <w:p>
            <w:pPr>
              <w:spacing w:line="360" w:lineRule="auto"/>
              <w:jc w:val="center"/>
              <w:rPr>
                <w:rFonts w:ascii="宋体" w:hAnsi="宋体"/>
                <w:b/>
                <w:szCs w:val="21"/>
              </w:rPr>
            </w:pPr>
            <w:r>
              <w:rPr>
                <w:rFonts w:hint="eastAsia" w:ascii="宋体" w:hAnsi="宋体"/>
                <w:b/>
                <w:szCs w:val="21"/>
              </w:rPr>
              <w:t>产品名称</w:t>
            </w:r>
          </w:p>
        </w:tc>
        <w:tc>
          <w:tcPr>
            <w:tcW w:w="6225" w:type="dxa"/>
            <w:vAlign w:val="center"/>
          </w:tcPr>
          <w:p>
            <w:pPr>
              <w:spacing w:line="360" w:lineRule="auto"/>
              <w:jc w:val="center"/>
              <w:rPr>
                <w:rFonts w:ascii="宋体" w:hAnsi="宋体"/>
                <w:b/>
                <w:szCs w:val="21"/>
              </w:rPr>
            </w:pPr>
            <w:r>
              <w:rPr>
                <w:rFonts w:hint="eastAsia" w:ascii="宋体" w:hAnsi="宋体"/>
                <w:b/>
                <w:szCs w:val="21"/>
              </w:rPr>
              <w:t>产品技术要求</w:t>
            </w:r>
          </w:p>
        </w:tc>
        <w:tc>
          <w:tcPr>
            <w:tcW w:w="1070" w:type="dxa"/>
            <w:vAlign w:val="center"/>
          </w:tcPr>
          <w:p>
            <w:pPr>
              <w:spacing w:line="360" w:lineRule="auto"/>
              <w:jc w:val="center"/>
              <w:rPr>
                <w:rFonts w:ascii="宋体" w:hAnsi="宋体"/>
                <w:b/>
                <w:szCs w:val="21"/>
              </w:rPr>
            </w:pPr>
            <w:r>
              <w:rPr>
                <w:rFonts w:hint="eastAsia" w:ascii="宋体" w:hAnsi="宋体"/>
                <w:b/>
                <w:szCs w:val="21"/>
              </w:rPr>
              <w:t>参考品牌</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ind w:left="132"/>
              <w:rPr>
                <w:rFonts w:ascii="宋体" w:hAnsi="宋体"/>
                <w:szCs w:val="21"/>
              </w:rPr>
            </w:pPr>
            <w:r>
              <w:rPr>
                <w:rFonts w:hint="eastAsia" w:ascii="宋体" w:hAnsi="宋体"/>
                <w:szCs w:val="21"/>
              </w:rPr>
              <w:t>1</w:t>
            </w:r>
          </w:p>
        </w:tc>
        <w:tc>
          <w:tcPr>
            <w:tcW w:w="1441" w:type="dxa"/>
            <w:vAlign w:val="center"/>
          </w:tcPr>
          <w:p>
            <w:pPr>
              <w:spacing w:line="360" w:lineRule="auto"/>
              <w:rPr>
                <w:rFonts w:ascii="宋体" w:hAnsi="宋体"/>
                <w:szCs w:val="21"/>
              </w:rPr>
            </w:pPr>
            <w:r>
              <w:rPr>
                <w:rFonts w:hint="eastAsia" w:ascii="宋体" w:hAnsi="宋体"/>
                <w:szCs w:val="21"/>
              </w:rPr>
              <w:t>照明箱、动力箱、控制箱、双电源切换箱</w:t>
            </w:r>
          </w:p>
        </w:tc>
        <w:tc>
          <w:tcPr>
            <w:tcW w:w="6225" w:type="dxa"/>
            <w:vAlign w:val="center"/>
          </w:tcPr>
          <w:p>
            <w:pPr>
              <w:spacing w:line="360" w:lineRule="auto"/>
              <w:ind w:firstLine="432"/>
              <w:rPr>
                <w:rFonts w:ascii="宋体" w:hAnsi="宋体"/>
                <w:szCs w:val="21"/>
              </w:rPr>
            </w:pPr>
            <w:r>
              <w:rPr>
                <w:rFonts w:hint="eastAsia" w:ascii="宋体" w:hAnsi="宋体"/>
                <w:szCs w:val="21"/>
              </w:rPr>
              <w:t>（一）产品技术要求</w:t>
            </w:r>
          </w:p>
          <w:p>
            <w:pPr>
              <w:spacing w:line="360" w:lineRule="auto"/>
              <w:ind w:firstLine="420"/>
              <w:rPr>
                <w:rFonts w:ascii="宋体" w:hAnsi="宋体"/>
                <w:szCs w:val="21"/>
              </w:rPr>
            </w:pPr>
            <w:r>
              <w:rPr>
                <w:rFonts w:hint="eastAsia" w:ascii="宋体" w:hAnsi="宋体"/>
                <w:szCs w:val="21"/>
              </w:rPr>
              <w:t>1、符合BG7521、JB/T9666等中国国家标准及国际标准；</w:t>
            </w:r>
          </w:p>
          <w:p>
            <w:pPr>
              <w:spacing w:line="360" w:lineRule="auto"/>
              <w:ind w:firstLine="420"/>
              <w:rPr>
                <w:rFonts w:ascii="宋体" w:hAnsi="宋体"/>
                <w:szCs w:val="21"/>
              </w:rPr>
            </w:pPr>
            <w:r>
              <w:rPr>
                <w:rFonts w:hint="eastAsia" w:ascii="宋体" w:hAnsi="宋体"/>
                <w:szCs w:val="21"/>
              </w:rPr>
              <w:t>2、三箱及箱内内元器件应有“3C”认证；</w:t>
            </w:r>
          </w:p>
          <w:p>
            <w:pPr>
              <w:spacing w:line="360" w:lineRule="auto"/>
              <w:ind w:firstLine="420"/>
              <w:rPr>
                <w:rFonts w:ascii="宋体" w:hAnsi="宋体"/>
                <w:szCs w:val="21"/>
              </w:rPr>
            </w:pPr>
            <w:r>
              <w:rPr>
                <w:rFonts w:hint="eastAsia" w:ascii="宋体" w:hAnsi="宋体"/>
                <w:szCs w:val="21"/>
              </w:rPr>
              <w:t>3、三箱内断路器和接触器应采用同一品牌；</w:t>
            </w:r>
          </w:p>
          <w:p>
            <w:pPr>
              <w:spacing w:line="360" w:lineRule="auto"/>
              <w:ind w:firstLine="420"/>
              <w:rPr>
                <w:rFonts w:ascii="宋体" w:hAnsi="宋体"/>
                <w:szCs w:val="21"/>
              </w:rPr>
            </w:pPr>
            <w:r>
              <w:rPr>
                <w:rFonts w:hint="eastAsia" w:ascii="宋体" w:hAnsi="宋体"/>
                <w:szCs w:val="21"/>
              </w:rPr>
              <w:t>4、浪涌保护器应满足防雷验收要求；</w:t>
            </w:r>
          </w:p>
          <w:p>
            <w:pPr>
              <w:spacing w:line="360" w:lineRule="auto"/>
              <w:ind w:firstLine="420"/>
              <w:rPr>
                <w:rFonts w:ascii="宋体" w:hAnsi="宋体"/>
                <w:szCs w:val="21"/>
              </w:rPr>
            </w:pPr>
            <w:r>
              <w:rPr>
                <w:rFonts w:hint="eastAsia" w:ascii="宋体" w:hAnsi="宋体"/>
                <w:szCs w:val="21"/>
              </w:rPr>
              <w:t>5、箱体材料采用国产优质冷轧钢板，箱体板材厚度不小于</w:t>
            </w:r>
            <w:r>
              <w:rPr>
                <w:rFonts w:ascii="宋体" w:hAnsi="宋体"/>
                <w:szCs w:val="21"/>
              </w:rPr>
              <w:t>1.5mm</w:t>
            </w:r>
            <w:r>
              <w:rPr>
                <w:rFonts w:hint="eastAsia" w:ascii="宋体" w:hAnsi="宋体"/>
                <w:szCs w:val="21"/>
              </w:rPr>
              <w:t>，落地柜板材厚度不小于2</w:t>
            </w:r>
            <w:r>
              <w:rPr>
                <w:rFonts w:ascii="宋体" w:hAnsi="宋体"/>
                <w:szCs w:val="21"/>
              </w:rPr>
              <w:t>.0mm</w:t>
            </w:r>
            <w:r>
              <w:rPr>
                <w:rFonts w:hint="eastAsia" w:ascii="宋体" w:hAnsi="宋体"/>
                <w:szCs w:val="21"/>
              </w:rPr>
              <w:t>，箱体表面经过除油、除锈、磷化处理、喷粉烘烤或喷塑处理。</w:t>
            </w:r>
          </w:p>
          <w:p>
            <w:pPr>
              <w:spacing w:line="360" w:lineRule="auto"/>
              <w:ind w:firstLine="420"/>
              <w:rPr>
                <w:rFonts w:ascii="宋体" w:hAnsi="宋体"/>
                <w:szCs w:val="21"/>
              </w:rPr>
            </w:pPr>
            <w:r>
              <w:rPr>
                <w:rFonts w:hint="eastAsia" w:ascii="宋体" w:hAnsi="宋体"/>
                <w:szCs w:val="21"/>
              </w:rPr>
              <w:t>6、箱体必须为全封闭型，箱门上须装防尘垫，装以锁扣或其他相同经批准的锁。整个箱体的防护等级满足图纸及规范要求。</w:t>
            </w:r>
          </w:p>
          <w:p>
            <w:pPr>
              <w:spacing w:line="360" w:lineRule="auto"/>
              <w:ind w:firstLine="420"/>
              <w:rPr>
                <w:rFonts w:ascii="宋体" w:hAnsi="宋体"/>
                <w:szCs w:val="21"/>
              </w:rPr>
            </w:pPr>
            <w:r>
              <w:rPr>
                <w:rFonts w:hint="eastAsia" w:ascii="宋体" w:hAnsi="宋体"/>
                <w:szCs w:val="21"/>
              </w:rPr>
              <w:t>7、箱内设备必须包括所规定额定电流的镀锡铜母线，以及足够截面的多接线端子的中性线和地线母线。</w:t>
            </w:r>
          </w:p>
          <w:p>
            <w:pPr>
              <w:spacing w:line="360" w:lineRule="auto"/>
              <w:ind w:firstLine="420"/>
              <w:rPr>
                <w:rFonts w:ascii="宋体" w:hAnsi="宋体"/>
                <w:szCs w:val="21"/>
              </w:rPr>
            </w:pPr>
            <w:r>
              <w:rPr>
                <w:rFonts w:hint="eastAsia" w:ascii="宋体" w:hAnsi="宋体"/>
                <w:szCs w:val="21"/>
              </w:rPr>
              <w:t>8、为了使带电部分和电线在打开前门板时能够完全屏蔽，所有在箱内的电线、母线等都应加以遮护，并应提供一块1.5mm厚的阻燃前护板（控制箱可以例外）。只有断路器的操作手把和其周围的绝缘部分可以突出在阻燃前护板上。</w:t>
            </w:r>
          </w:p>
          <w:p>
            <w:pPr>
              <w:spacing w:line="360" w:lineRule="auto"/>
              <w:ind w:firstLine="420"/>
              <w:rPr>
                <w:rFonts w:ascii="宋体" w:hAnsi="宋体"/>
                <w:szCs w:val="21"/>
              </w:rPr>
            </w:pPr>
            <w:r>
              <w:rPr>
                <w:rFonts w:hint="eastAsia" w:ascii="宋体" w:hAnsi="宋体"/>
                <w:szCs w:val="21"/>
              </w:rPr>
              <w:t>9、必须配置一个接地端子，使箱体可以接地。装有二次元件的箱门应通过软编制铜带与接地端子相连。</w:t>
            </w:r>
          </w:p>
          <w:p>
            <w:pPr>
              <w:spacing w:line="360" w:lineRule="auto"/>
              <w:ind w:firstLine="420"/>
              <w:rPr>
                <w:rFonts w:ascii="宋体" w:hAnsi="宋体"/>
                <w:szCs w:val="21"/>
              </w:rPr>
            </w:pPr>
            <w:r>
              <w:rPr>
                <w:rFonts w:hint="eastAsia" w:ascii="宋体" w:hAnsi="宋体"/>
                <w:szCs w:val="21"/>
              </w:rPr>
              <w:t>10、三箱内主开关的相线和中性母线的额定电流不应小于250A和进线保护装置的电流。母线、母线固定支架和母线接线的布置必须能在1秒钟内承受40kA以上的短路电流的冲击。</w:t>
            </w:r>
          </w:p>
          <w:p>
            <w:pPr>
              <w:spacing w:line="360" w:lineRule="auto"/>
              <w:ind w:firstLine="420"/>
              <w:rPr>
                <w:rFonts w:ascii="宋体" w:hAnsi="宋体"/>
                <w:szCs w:val="21"/>
              </w:rPr>
            </w:pPr>
            <w:r>
              <w:rPr>
                <w:rFonts w:hint="eastAsia" w:ascii="宋体" w:hAnsi="宋体"/>
                <w:szCs w:val="21"/>
              </w:rPr>
              <w:t>11、所有三箱必须有清晰的标牌。在每个箱门内必须附有回路记录卡。每个电箱必须给出一次及二次接线图。</w:t>
            </w:r>
          </w:p>
          <w:p>
            <w:pPr>
              <w:spacing w:line="360" w:lineRule="auto"/>
              <w:ind w:firstLine="420"/>
              <w:rPr>
                <w:rFonts w:ascii="宋体" w:hAnsi="宋体"/>
                <w:szCs w:val="21"/>
              </w:rPr>
            </w:pPr>
            <w:r>
              <w:rPr>
                <w:rFonts w:hint="eastAsia" w:ascii="宋体" w:hAnsi="宋体"/>
                <w:szCs w:val="21"/>
              </w:rPr>
              <w:t>12、双电源切换开关</w:t>
            </w:r>
            <w:r>
              <w:rPr>
                <w:rFonts w:ascii="宋体" w:hAnsi="宋体"/>
                <w:szCs w:val="21"/>
              </w:rPr>
              <w:t>设有手动/自动、自投自复/自投不自复。具有过压、欠压、缺相的检测功能。当某路电源出现故障时，电源指示灯显示故障类型。过压、欠压的阈值可通过控制器背面的拨动开关进行设置。</w:t>
            </w:r>
          </w:p>
          <w:p>
            <w:pPr>
              <w:spacing w:line="360" w:lineRule="auto"/>
              <w:ind w:firstLine="420"/>
              <w:rPr>
                <w:rFonts w:ascii="宋体" w:hAnsi="宋体"/>
                <w:szCs w:val="21"/>
              </w:rPr>
            </w:pPr>
            <w:r>
              <w:rPr>
                <w:rFonts w:hint="eastAsia" w:ascii="宋体" w:hAnsi="宋体"/>
                <w:szCs w:val="21"/>
              </w:rPr>
              <w:t>13、总包单位采购的设备、自带控制箱（柜）应有消防控制接点、弱电系统集成需要的要检测、通讯接口、控制接口。</w:t>
            </w:r>
          </w:p>
          <w:p>
            <w:pPr>
              <w:spacing w:line="360" w:lineRule="auto"/>
              <w:ind w:firstLine="420"/>
              <w:rPr>
                <w:rFonts w:ascii="宋体" w:hAnsi="宋体"/>
                <w:szCs w:val="21"/>
              </w:rPr>
            </w:pPr>
            <w:r>
              <w:rPr>
                <w:rFonts w:hint="eastAsia" w:ascii="宋体" w:hAnsi="宋体"/>
                <w:szCs w:val="21"/>
              </w:rPr>
              <w:t>14、变频器应满足设计要求，同时变频器应带抑制谐波措施。</w:t>
            </w:r>
          </w:p>
          <w:p>
            <w:pPr>
              <w:spacing w:line="360" w:lineRule="auto"/>
              <w:ind w:firstLine="420"/>
              <w:rPr>
                <w:rFonts w:ascii="宋体" w:hAnsi="宋体"/>
                <w:szCs w:val="21"/>
              </w:rPr>
            </w:pPr>
            <w:r>
              <w:rPr>
                <w:rFonts w:hint="eastAsia" w:ascii="宋体" w:hAnsi="宋体"/>
                <w:szCs w:val="21"/>
              </w:rPr>
              <w:t>15、双电源切换箱必须通过AC-33实验。</w:t>
            </w:r>
          </w:p>
          <w:p>
            <w:pPr>
              <w:spacing w:line="360" w:lineRule="auto"/>
              <w:ind w:firstLine="420"/>
              <w:rPr>
                <w:rFonts w:ascii="宋体" w:hAnsi="宋体"/>
                <w:szCs w:val="21"/>
              </w:rPr>
            </w:pPr>
            <w:r>
              <w:rPr>
                <w:rFonts w:hint="eastAsia" w:ascii="宋体" w:hAnsi="宋体"/>
                <w:szCs w:val="21"/>
              </w:rPr>
              <w:t>16、T接箱</w:t>
            </w:r>
          </w:p>
          <w:p>
            <w:pPr>
              <w:spacing w:line="360" w:lineRule="auto"/>
              <w:ind w:firstLine="420" w:firstLineChars="200"/>
              <w:rPr>
                <w:rFonts w:ascii="宋体" w:hAnsi="宋体"/>
                <w:szCs w:val="21"/>
              </w:rPr>
            </w:pPr>
            <w:r>
              <w:rPr>
                <w:rFonts w:hint="eastAsia" w:ascii="宋体" w:hAnsi="宋体"/>
                <w:szCs w:val="21"/>
              </w:rPr>
              <w:t>17、符合GB14048、JB/T9659、IEC60947等中国国家标准及国际标准；</w:t>
            </w:r>
          </w:p>
          <w:p>
            <w:pPr>
              <w:spacing w:line="360" w:lineRule="auto"/>
              <w:ind w:firstLine="420"/>
              <w:rPr>
                <w:rFonts w:ascii="宋体" w:hAnsi="宋体"/>
                <w:szCs w:val="21"/>
              </w:rPr>
            </w:pPr>
            <w:r>
              <w:rPr>
                <w:rFonts w:hint="eastAsia" w:ascii="宋体" w:hAnsi="宋体"/>
                <w:szCs w:val="21"/>
              </w:rPr>
              <w:t>18、要求具有较强耐热性和抗冲击能力，可承受120A/mm</w:t>
            </w:r>
            <w:r>
              <w:rPr>
                <w:rFonts w:hint="eastAsia" w:ascii="宋体" w:hAnsi="宋体"/>
                <w:szCs w:val="21"/>
                <w:vertAlign w:val="superscript"/>
              </w:rPr>
              <w:t>2</w:t>
            </w:r>
            <w:r>
              <w:rPr>
                <w:rFonts w:hint="eastAsia" w:ascii="宋体" w:hAnsi="宋体"/>
                <w:szCs w:val="21"/>
              </w:rPr>
              <w:t>的短路冲击电流，绝缘基座采用不燃烧材料制作，耐老化性能优良。</w:t>
            </w:r>
          </w:p>
          <w:p>
            <w:pPr>
              <w:spacing w:line="360" w:lineRule="auto"/>
              <w:ind w:firstLine="420"/>
              <w:rPr>
                <w:rFonts w:ascii="宋体" w:hAnsi="宋体"/>
                <w:szCs w:val="21"/>
              </w:rPr>
            </w:pPr>
            <w:r>
              <w:rPr>
                <w:rFonts w:hint="eastAsia" w:ascii="宋体" w:hAnsi="宋体"/>
                <w:szCs w:val="21"/>
              </w:rPr>
              <w:t>（二）智能化要求</w:t>
            </w:r>
          </w:p>
          <w:p>
            <w:pPr>
              <w:spacing w:line="360" w:lineRule="auto"/>
              <w:ind w:firstLine="420"/>
              <w:rPr>
                <w:rFonts w:ascii="宋体" w:hAnsi="宋体"/>
                <w:szCs w:val="21"/>
              </w:rPr>
            </w:pPr>
            <w:r>
              <w:rPr>
                <w:rFonts w:hint="eastAsia" w:ascii="宋体" w:hAnsi="宋体"/>
                <w:szCs w:val="21"/>
              </w:rPr>
              <w:t>1、三箱箱体预留孔洞，便于智能化单位穿线。</w:t>
            </w:r>
          </w:p>
          <w:p>
            <w:pPr>
              <w:spacing w:line="360" w:lineRule="auto"/>
              <w:ind w:firstLine="420"/>
              <w:rPr>
                <w:rFonts w:ascii="宋体" w:hAnsi="宋体"/>
                <w:szCs w:val="21"/>
              </w:rPr>
            </w:pPr>
            <w:r>
              <w:rPr>
                <w:rFonts w:hint="eastAsia" w:ascii="宋体" w:hAnsi="宋体"/>
                <w:szCs w:val="21"/>
              </w:rPr>
              <w:t>2、三箱内需为电力智能仪表、漏电火灾监控等模块预留一定空间并安装。</w:t>
            </w:r>
          </w:p>
        </w:tc>
        <w:tc>
          <w:tcPr>
            <w:tcW w:w="1070" w:type="dxa"/>
            <w:vAlign w:val="center"/>
          </w:tcPr>
          <w:p>
            <w:pPr>
              <w:spacing w:line="360" w:lineRule="auto"/>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ind w:firstLine="105" w:firstLineChars="50"/>
              <w:jc w:val="center"/>
              <w:rPr>
                <w:rFonts w:ascii="宋体" w:hAnsi="宋体"/>
                <w:szCs w:val="21"/>
              </w:rPr>
            </w:pPr>
            <w:r>
              <w:rPr>
                <w:rFonts w:hint="eastAsia" w:ascii="宋体" w:hAnsi="宋体"/>
                <w:szCs w:val="21"/>
              </w:rPr>
              <w:t>2</w:t>
            </w:r>
          </w:p>
        </w:tc>
        <w:tc>
          <w:tcPr>
            <w:tcW w:w="1441" w:type="dxa"/>
            <w:vAlign w:val="center"/>
          </w:tcPr>
          <w:p>
            <w:pPr>
              <w:spacing w:line="360" w:lineRule="auto"/>
              <w:rPr>
                <w:rFonts w:ascii="宋体" w:hAnsi="宋体"/>
                <w:szCs w:val="21"/>
              </w:rPr>
            </w:pPr>
            <w:r>
              <w:rPr>
                <w:rFonts w:hint="eastAsia" w:ascii="宋体" w:hAnsi="宋体"/>
                <w:szCs w:val="21"/>
              </w:rPr>
              <w:t>电缆桥架、梯架、金属线槽（含强弱电工程）</w:t>
            </w:r>
          </w:p>
        </w:tc>
        <w:tc>
          <w:tcPr>
            <w:tcW w:w="6225" w:type="dxa"/>
            <w:vAlign w:val="center"/>
          </w:tcPr>
          <w:p>
            <w:pPr>
              <w:spacing w:line="360" w:lineRule="auto"/>
              <w:ind w:firstLine="420"/>
              <w:rPr>
                <w:rFonts w:ascii="宋体" w:hAnsi="宋体"/>
                <w:szCs w:val="21"/>
              </w:rPr>
            </w:pPr>
            <w:r>
              <w:rPr>
                <w:rFonts w:hint="eastAsia" w:ascii="宋体" w:hAnsi="宋体"/>
                <w:szCs w:val="21"/>
              </w:rPr>
              <w:t>1</w:t>
            </w:r>
            <w:r>
              <w:rPr>
                <w:rFonts w:ascii="宋体" w:hAnsi="宋体"/>
                <w:szCs w:val="21"/>
              </w:rPr>
              <w:t>、生产厂家注册资金达</w:t>
            </w:r>
            <w:r>
              <w:rPr>
                <w:rFonts w:hint="eastAsia" w:ascii="宋体" w:hAnsi="宋体"/>
                <w:szCs w:val="21"/>
              </w:rPr>
              <w:t>1</w:t>
            </w:r>
            <w:r>
              <w:rPr>
                <w:rFonts w:ascii="宋体" w:hAnsi="宋体"/>
                <w:szCs w:val="21"/>
              </w:rPr>
              <w:t>000万元；</w:t>
            </w:r>
          </w:p>
          <w:p>
            <w:pPr>
              <w:spacing w:line="360" w:lineRule="auto"/>
              <w:ind w:firstLine="420"/>
              <w:rPr>
                <w:rFonts w:ascii="宋体" w:hAnsi="宋体"/>
                <w:szCs w:val="21"/>
              </w:rPr>
            </w:pPr>
            <w:r>
              <w:rPr>
                <w:rFonts w:ascii="宋体" w:hAnsi="宋体"/>
                <w:szCs w:val="21"/>
              </w:rPr>
              <w:t>2、生产厂家有</w:t>
            </w:r>
            <w:r>
              <w:rPr>
                <w:rFonts w:hint="eastAsia" w:ascii="宋体" w:hAnsi="宋体"/>
                <w:szCs w:val="21"/>
              </w:rPr>
              <w:t>剪切、冲孔、弯折</w:t>
            </w:r>
            <w:r>
              <w:rPr>
                <w:rFonts w:ascii="宋体" w:hAnsi="宋体"/>
                <w:szCs w:val="21"/>
              </w:rPr>
              <w:t>数控设备；</w:t>
            </w:r>
          </w:p>
          <w:p>
            <w:pPr>
              <w:spacing w:line="360" w:lineRule="auto"/>
              <w:ind w:firstLine="420"/>
              <w:rPr>
                <w:rFonts w:ascii="宋体" w:hAnsi="宋体"/>
                <w:szCs w:val="21"/>
              </w:rPr>
            </w:pPr>
            <w:r>
              <w:rPr>
                <w:rFonts w:hint="eastAsia" w:ascii="宋体" w:hAnsi="宋体"/>
                <w:szCs w:val="21"/>
              </w:rPr>
              <w:t>3、电缆桥架含本工程所需的电缆梯架、电缆托盘、金属线槽等电缆承载体。</w:t>
            </w:r>
          </w:p>
          <w:p>
            <w:pPr>
              <w:spacing w:line="360" w:lineRule="auto"/>
              <w:ind w:firstLine="420"/>
              <w:rPr>
                <w:rFonts w:ascii="宋体" w:hAnsi="宋体"/>
                <w:szCs w:val="21"/>
              </w:rPr>
            </w:pPr>
            <w:r>
              <w:rPr>
                <w:rFonts w:hint="eastAsia" w:ascii="宋体" w:hAnsi="宋体"/>
                <w:szCs w:val="21"/>
              </w:rPr>
              <w:t>4、符合JB/T10216、CECS 31等标准要求。</w:t>
            </w:r>
          </w:p>
          <w:p>
            <w:pPr>
              <w:spacing w:line="360" w:lineRule="auto"/>
              <w:ind w:firstLine="420"/>
              <w:rPr>
                <w:rFonts w:ascii="宋体" w:hAnsi="宋体"/>
                <w:szCs w:val="21"/>
              </w:rPr>
            </w:pPr>
            <w:r>
              <w:rPr>
                <w:rFonts w:hint="eastAsia" w:ascii="宋体" w:hAnsi="宋体"/>
                <w:szCs w:val="21"/>
              </w:rPr>
              <w:t>5、电缆桥架应在工厂加工完成后在运抵施工现场，尽可能减少在工地切割桥架，严禁在工地加工、制作水平弯、垂直弯以及分支接头等桥架的连接段。</w:t>
            </w:r>
          </w:p>
          <w:p>
            <w:pPr>
              <w:spacing w:line="360" w:lineRule="auto"/>
              <w:ind w:firstLine="420"/>
              <w:rPr>
                <w:rFonts w:ascii="宋体" w:hAnsi="宋体"/>
                <w:szCs w:val="21"/>
              </w:rPr>
            </w:pPr>
            <w:r>
              <w:rPr>
                <w:rFonts w:hint="eastAsia" w:ascii="宋体" w:hAnsi="宋体"/>
                <w:szCs w:val="21"/>
              </w:rPr>
              <w:t>6、电缆桥架的膨胀节必须使用制造厂生产的标准伸缩接合板。</w:t>
            </w:r>
          </w:p>
          <w:p>
            <w:pPr>
              <w:spacing w:line="360" w:lineRule="auto"/>
              <w:ind w:firstLine="420"/>
              <w:rPr>
                <w:rFonts w:ascii="宋体" w:hAnsi="宋体"/>
                <w:szCs w:val="21"/>
              </w:rPr>
            </w:pPr>
            <w:r>
              <w:rPr>
                <w:rFonts w:hint="eastAsia" w:ascii="宋体" w:hAnsi="宋体"/>
                <w:szCs w:val="21"/>
              </w:rPr>
              <w:t>7、电缆梯架的两条边框至少必须为40mm宽的顶缘卷边以增加强度，板材厚度不小于2</w:t>
            </w:r>
            <w:r>
              <w:rPr>
                <w:rFonts w:ascii="宋体" w:hAnsi="宋体"/>
                <w:szCs w:val="21"/>
              </w:rPr>
              <w:t>.5mm</w:t>
            </w:r>
            <w:r>
              <w:rPr>
                <w:rFonts w:hint="eastAsia" w:ascii="宋体" w:hAnsi="宋体"/>
                <w:szCs w:val="21"/>
              </w:rPr>
              <w:t>。梯级的中心间隔约为300mm，并具一定的宽度以用不同的方法固定电缆，包括尼龙带扣、鞍行夹、冲孔带、电缆夹等。梯架盖板板材厚度不小于1</w:t>
            </w:r>
            <w:r>
              <w:rPr>
                <w:rFonts w:ascii="宋体" w:hAnsi="宋体"/>
                <w:szCs w:val="21"/>
              </w:rPr>
              <w:t>.</w:t>
            </w:r>
            <w:r>
              <w:rPr>
                <w:rFonts w:hint="eastAsia" w:ascii="宋体" w:hAnsi="宋体"/>
                <w:szCs w:val="21"/>
              </w:rPr>
              <w:t>2</w:t>
            </w:r>
            <w:r>
              <w:rPr>
                <w:rFonts w:ascii="宋体" w:hAnsi="宋体"/>
                <w:szCs w:val="21"/>
              </w:rPr>
              <w:t>mm</w:t>
            </w:r>
            <w:r>
              <w:rPr>
                <w:rFonts w:hint="eastAsia" w:ascii="宋体" w:hAnsi="宋体"/>
                <w:szCs w:val="21"/>
              </w:rPr>
              <w:t>。</w:t>
            </w:r>
          </w:p>
          <w:p>
            <w:pPr>
              <w:spacing w:line="360" w:lineRule="auto"/>
              <w:ind w:firstLine="420"/>
              <w:rPr>
                <w:rFonts w:ascii="宋体" w:hAnsi="宋体"/>
                <w:szCs w:val="21"/>
              </w:rPr>
            </w:pPr>
            <w:r>
              <w:rPr>
                <w:rFonts w:hint="eastAsia" w:ascii="宋体" w:hAnsi="宋体"/>
                <w:szCs w:val="21"/>
              </w:rPr>
              <w:t>8、电缆桥架表面进行热浸镀锌或喷粉烘烤处理。</w:t>
            </w:r>
          </w:p>
          <w:p>
            <w:pPr>
              <w:spacing w:line="360" w:lineRule="auto"/>
              <w:ind w:right="22" w:firstLine="420" w:firstLineChars="200"/>
              <w:rPr>
                <w:rFonts w:ascii="宋体" w:hAnsi="宋体"/>
                <w:szCs w:val="21"/>
              </w:rPr>
            </w:pPr>
            <w:r>
              <w:rPr>
                <w:rFonts w:hint="eastAsia" w:ascii="宋体" w:hAnsi="宋体"/>
                <w:szCs w:val="21"/>
              </w:rPr>
              <w:t>9、电缆托盘、桥架、线槽等尺寸与板材厚度应满足国家相关规范。</w:t>
            </w:r>
          </w:p>
          <w:p>
            <w:pPr>
              <w:spacing w:line="360" w:lineRule="auto"/>
              <w:ind w:firstLine="420"/>
              <w:rPr>
                <w:rFonts w:ascii="宋体" w:hAnsi="宋体"/>
                <w:szCs w:val="21"/>
              </w:rPr>
            </w:pPr>
            <w:r>
              <w:rPr>
                <w:rFonts w:hint="eastAsia" w:ascii="宋体" w:hAnsi="宋体"/>
                <w:szCs w:val="21"/>
              </w:rPr>
              <w:t>10、所有电缆桥架、梯架和金属线槽都必须加装盖板，并配置锁扣。</w:t>
            </w:r>
          </w:p>
          <w:p>
            <w:pPr>
              <w:spacing w:line="360" w:lineRule="auto"/>
              <w:ind w:firstLine="420"/>
              <w:rPr>
                <w:rFonts w:ascii="宋体" w:hAnsi="宋体"/>
                <w:szCs w:val="21"/>
              </w:rPr>
            </w:pPr>
            <w:r>
              <w:rPr>
                <w:rFonts w:hint="eastAsia" w:ascii="宋体" w:hAnsi="宋体"/>
                <w:szCs w:val="21"/>
              </w:rPr>
              <w:t>11、敷设消防电缆的封闭式线槽应外刷防火涂料，要求在线槽生产厂内完成防火涂料喷涂工作，不允许在现场手工涂刷，耐火时间级别应满足设计要求。</w:t>
            </w:r>
          </w:p>
          <w:p>
            <w:pPr>
              <w:spacing w:line="360" w:lineRule="auto"/>
              <w:ind w:firstLine="420"/>
              <w:rPr>
                <w:rFonts w:ascii="宋体" w:hAnsi="宋体"/>
                <w:szCs w:val="21"/>
              </w:rPr>
            </w:pPr>
            <w:r>
              <w:rPr>
                <w:rFonts w:hint="eastAsia" w:ascii="宋体" w:hAnsi="宋体"/>
                <w:szCs w:val="21"/>
              </w:rPr>
              <w:t>12、桥架、梯架和金属线槽在正式施工前要求先做样品段，报发包人审批同意后再开始大范围施工。</w:t>
            </w:r>
          </w:p>
          <w:p>
            <w:pPr>
              <w:spacing w:line="360" w:lineRule="auto"/>
              <w:ind w:firstLine="420"/>
              <w:rPr>
                <w:rFonts w:ascii="宋体" w:hAnsi="宋体"/>
                <w:szCs w:val="21"/>
              </w:rPr>
            </w:pPr>
            <w:r>
              <w:rPr>
                <w:rFonts w:hint="eastAsia" w:ascii="宋体" w:hAnsi="宋体"/>
                <w:szCs w:val="21"/>
              </w:rPr>
              <w:t>13、材料定货前要提供样品，报发包人审批后才能定货。</w:t>
            </w: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jc w:val="center"/>
              <w:rPr>
                <w:rFonts w:ascii="宋体" w:hAnsi="宋体"/>
                <w:szCs w:val="21"/>
              </w:rPr>
            </w:pPr>
            <w:r>
              <w:rPr>
                <w:rFonts w:hint="eastAsia" w:ascii="宋体" w:hAnsi="宋体"/>
                <w:szCs w:val="21"/>
              </w:rPr>
              <w:t>3</w:t>
            </w:r>
          </w:p>
        </w:tc>
        <w:tc>
          <w:tcPr>
            <w:tcW w:w="1441" w:type="dxa"/>
            <w:vAlign w:val="center"/>
          </w:tcPr>
          <w:p>
            <w:pPr>
              <w:spacing w:line="360" w:lineRule="auto"/>
              <w:rPr>
                <w:rFonts w:ascii="宋体" w:hAnsi="宋体"/>
                <w:szCs w:val="21"/>
              </w:rPr>
            </w:pPr>
            <w:r>
              <w:rPr>
                <w:rFonts w:hint="eastAsia" w:ascii="宋体" w:hAnsi="宋体"/>
                <w:szCs w:val="21"/>
              </w:rPr>
              <w:t>电线电缆</w:t>
            </w:r>
          </w:p>
        </w:tc>
        <w:tc>
          <w:tcPr>
            <w:tcW w:w="6225" w:type="dxa"/>
            <w:vAlign w:val="center"/>
          </w:tcPr>
          <w:p>
            <w:pPr>
              <w:spacing w:line="360" w:lineRule="auto"/>
              <w:ind w:firstLine="420"/>
              <w:rPr>
                <w:rFonts w:ascii="宋体" w:hAnsi="宋体"/>
                <w:szCs w:val="21"/>
              </w:rPr>
            </w:pPr>
            <w:r>
              <w:rPr>
                <w:rFonts w:hint="eastAsia" w:ascii="宋体" w:hAnsi="宋体"/>
                <w:szCs w:val="21"/>
              </w:rPr>
              <w:t>1、电缆盘上应表明电缆型号、规格、电压等级、长度及出厂日期。并与产品合格证相符。电缆盘应完好无损。</w:t>
            </w:r>
          </w:p>
          <w:p>
            <w:pPr>
              <w:spacing w:line="360" w:lineRule="auto"/>
              <w:ind w:firstLine="420"/>
              <w:rPr>
                <w:rFonts w:ascii="宋体" w:hAnsi="宋体"/>
                <w:szCs w:val="21"/>
              </w:rPr>
            </w:pPr>
            <w:r>
              <w:rPr>
                <w:rFonts w:hint="eastAsia" w:ascii="宋体" w:hAnsi="宋体"/>
                <w:szCs w:val="21"/>
              </w:rPr>
              <w:t>2、用优质铜材，含铜量不低于</w:t>
            </w:r>
            <w:r>
              <w:rPr>
                <w:rFonts w:ascii="宋体" w:hAnsi="宋体"/>
                <w:szCs w:val="21"/>
              </w:rPr>
              <w:t>99.99%</w:t>
            </w:r>
            <w:r>
              <w:rPr>
                <w:rFonts w:hint="eastAsia" w:ascii="宋体" w:hAnsi="宋体"/>
                <w:szCs w:val="21"/>
              </w:rPr>
              <w:t>。</w:t>
            </w:r>
          </w:p>
          <w:p>
            <w:pPr>
              <w:spacing w:line="360" w:lineRule="auto"/>
              <w:ind w:firstLine="420"/>
              <w:rPr>
                <w:rFonts w:ascii="宋体" w:hAnsi="宋体"/>
                <w:szCs w:val="21"/>
              </w:rPr>
            </w:pPr>
            <w:r>
              <w:rPr>
                <w:rFonts w:hint="eastAsia" w:ascii="宋体" w:hAnsi="宋体"/>
                <w:szCs w:val="21"/>
              </w:rPr>
              <w:t>3、电线、电缆的绝缘材料必须符合电压等级和设计要求。</w:t>
            </w:r>
          </w:p>
          <w:p>
            <w:pPr>
              <w:spacing w:line="360" w:lineRule="auto"/>
              <w:ind w:firstLine="420"/>
              <w:rPr>
                <w:rFonts w:ascii="宋体" w:hAnsi="宋体"/>
                <w:szCs w:val="21"/>
              </w:rPr>
            </w:pPr>
            <w:r>
              <w:rPr>
                <w:rFonts w:hint="eastAsia" w:ascii="宋体" w:hAnsi="宋体"/>
                <w:szCs w:val="21"/>
              </w:rPr>
              <w:t>4、电缆未受到机械外力的损伤，铠装无锈蚀，缆线顺直无皱折和扭曲现象。塑料电缆外皮绝缘层无老化和龟裂现象。</w:t>
            </w:r>
          </w:p>
          <w:p>
            <w:pPr>
              <w:spacing w:line="360" w:lineRule="auto"/>
              <w:ind w:firstLine="420"/>
              <w:rPr>
                <w:rFonts w:ascii="宋体" w:hAnsi="宋体"/>
                <w:szCs w:val="21"/>
              </w:rPr>
            </w:pPr>
            <w:r>
              <w:rPr>
                <w:rFonts w:hint="eastAsia" w:ascii="宋体" w:hAnsi="宋体"/>
                <w:szCs w:val="21"/>
              </w:rPr>
              <w:t>5、电缆终端头应是定型产品，如电缆由承包单位采购，需要与电缆采用同一产品，附件齐全，封套必须与电缆规格尺寸匹配，应紧裹电缆及其各条导线。套管应完好无损，不得有裂纹和损伤，并应有合格证和实验数据纪录。</w:t>
            </w:r>
          </w:p>
          <w:p>
            <w:pPr>
              <w:spacing w:line="360" w:lineRule="auto"/>
              <w:ind w:firstLine="420"/>
              <w:rPr>
                <w:rFonts w:ascii="宋体" w:hAnsi="宋体"/>
                <w:szCs w:val="21"/>
              </w:rPr>
            </w:pPr>
            <w:r>
              <w:rPr>
                <w:rFonts w:hint="eastAsia" w:ascii="宋体" w:hAnsi="宋体"/>
                <w:szCs w:val="21"/>
              </w:rPr>
              <w:t>6、电缆芯线和电线绝缘层的颜色必须满足以下要求：</w:t>
            </w:r>
          </w:p>
          <w:p>
            <w:pPr>
              <w:spacing w:line="360" w:lineRule="auto"/>
              <w:ind w:firstLine="420"/>
              <w:rPr>
                <w:rFonts w:ascii="宋体" w:hAnsi="宋体"/>
                <w:szCs w:val="21"/>
              </w:rPr>
            </w:pPr>
            <w:r>
              <w:rPr>
                <w:rFonts w:hint="eastAsia" w:ascii="宋体" w:hAnsi="宋体"/>
                <w:szCs w:val="21"/>
              </w:rPr>
              <w:t>相线：黄、绿、红；零线：淡蓝；地线：黄/绿；控制线：白</w:t>
            </w:r>
          </w:p>
          <w:p>
            <w:pPr>
              <w:spacing w:line="360" w:lineRule="auto"/>
              <w:ind w:firstLine="420"/>
              <w:rPr>
                <w:rFonts w:ascii="宋体" w:hAnsi="宋体"/>
                <w:szCs w:val="21"/>
              </w:rPr>
            </w:pPr>
            <w:r>
              <w:rPr>
                <w:rFonts w:hint="eastAsia" w:ascii="宋体" w:hAnsi="宋体"/>
                <w:szCs w:val="21"/>
              </w:rPr>
              <w:t>7、与低压柜相连电缆的电缆头制作必须用户内热缩式，或满足供电局相关批文。</w:t>
            </w:r>
          </w:p>
          <w:p>
            <w:pPr>
              <w:spacing w:line="360" w:lineRule="auto"/>
              <w:ind w:firstLine="420"/>
              <w:rPr>
                <w:rFonts w:ascii="宋体" w:hAnsi="宋体"/>
                <w:szCs w:val="21"/>
              </w:rPr>
            </w:pPr>
            <w:r>
              <w:rPr>
                <w:rFonts w:hint="eastAsia" w:ascii="宋体" w:hAnsi="宋体"/>
                <w:szCs w:val="21"/>
              </w:rPr>
              <w:t>8、电缆的护套表面应有生产厂家、电缆型号、额定电压和生产年份的连续标记，标志应字迹清楚、容易辨认、耐擦。</w:t>
            </w:r>
          </w:p>
          <w:p>
            <w:pPr>
              <w:spacing w:line="360" w:lineRule="auto"/>
              <w:ind w:firstLine="420"/>
              <w:rPr>
                <w:rFonts w:ascii="宋体" w:hAnsi="宋体"/>
                <w:szCs w:val="21"/>
              </w:rPr>
            </w:pPr>
            <w:r>
              <w:rPr>
                <w:rFonts w:hint="eastAsia" w:ascii="宋体" w:hAnsi="宋体"/>
                <w:szCs w:val="21"/>
              </w:rPr>
              <w:t>9、在中标人供货期间或货物安装使用期间，发包人按批次和种类将中标人供应的货物委托第三方进行检测，检测材料成本、运费及检测费用（甲供除外）由中标人承担。</w:t>
            </w:r>
          </w:p>
          <w:p>
            <w:pPr>
              <w:spacing w:line="360" w:lineRule="auto"/>
              <w:ind w:firstLine="420"/>
              <w:rPr>
                <w:rFonts w:ascii="宋体" w:hAnsi="宋体"/>
                <w:szCs w:val="21"/>
              </w:rPr>
            </w:pPr>
            <w:r>
              <w:rPr>
                <w:rFonts w:hint="eastAsia" w:ascii="宋体" w:hAnsi="宋体"/>
                <w:szCs w:val="21"/>
              </w:rPr>
              <w:t>10、材料定货前要提供样品，报发包人审批后才能定货。</w:t>
            </w:r>
          </w:p>
        </w:tc>
        <w:tc>
          <w:tcPr>
            <w:tcW w:w="1070" w:type="dxa"/>
            <w:vAlign w:val="center"/>
          </w:tcPr>
          <w:p>
            <w:pPr>
              <w:spacing w:line="360" w:lineRule="auto"/>
              <w:ind w:firstLine="420"/>
              <w:rPr>
                <w:rFonts w:ascii="宋体" w:hAnsi="宋体"/>
                <w:szCs w:val="21"/>
              </w:rPr>
            </w:pPr>
          </w:p>
          <w:p>
            <w:pPr>
              <w:spacing w:line="360" w:lineRule="auto"/>
              <w:ind w:firstLine="420"/>
              <w:rPr>
                <w:rFonts w:ascii="宋体" w:hAnsi="宋体"/>
                <w:szCs w:val="21"/>
              </w:rPr>
            </w:pPr>
          </w:p>
          <w:p>
            <w:pPr>
              <w:spacing w:line="360" w:lineRule="auto"/>
              <w:ind w:firstLine="420"/>
              <w:rPr>
                <w:rFonts w:ascii="宋体" w:hAnsi="宋体"/>
                <w:szCs w:val="21"/>
              </w:rPr>
            </w:pPr>
          </w:p>
          <w:p>
            <w:pPr>
              <w:spacing w:line="360" w:lineRule="auto"/>
              <w:ind w:firstLine="420"/>
              <w:rPr>
                <w:rFonts w:ascii="宋体" w:hAnsi="宋体"/>
                <w:szCs w:val="21"/>
              </w:rPr>
            </w:pPr>
          </w:p>
          <w:p>
            <w:pPr>
              <w:spacing w:line="360" w:lineRule="auto"/>
              <w:ind w:firstLine="420"/>
              <w:rPr>
                <w:rFonts w:ascii="宋体" w:hAnsi="宋体"/>
                <w:szCs w:val="21"/>
              </w:rPr>
            </w:pPr>
          </w:p>
          <w:p>
            <w:pPr>
              <w:spacing w:line="360" w:lineRule="auto"/>
              <w:ind w:firstLine="420"/>
              <w:rPr>
                <w:rFonts w:ascii="宋体" w:hAnsi="宋体"/>
                <w:szCs w:val="21"/>
              </w:rPr>
            </w:pPr>
          </w:p>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721" w:type="dxa"/>
            <w:vAlign w:val="center"/>
          </w:tcPr>
          <w:p>
            <w:pPr>
              <w:spacing w:line="360" w:lineRule="auto"/>
              <w:jc w:val="center"/>
              <w:rPr>
                <w:rFonts w:ascii="宋体" w:hAnsi="宋体"/>
                <w:szCs w:val="21"/>
              </w:rPr>
            </w:pPr>
            <w:r>
              <w:rPr>
                <w:rFonts w:hint="eastAsia" w:ascii="宋体" w:hAnsi="宋体"/>
                <w:szCs w:val="21"/>
              </w:rPr>
              <w:t>4</w:t>
            </w:r>
          </w:p>
        </w:tc>
        <w:tc>
          <w:tcPr>
            <w:tcW w:w="1441" w:type="dxa"/>
            <w:vAlign w:val="center"/>
          </w:tcPr>
          <w:p>
            <w:pPr>
              <w:spacing w:line="360" w:lineRule="auto"/>
              <w:rPr>
                <w:rFonts w:ascii="宋体" w:hAnsi="宋体"/>
                <w:szCs w:val="21"/>
              </w:rPr>
            </w:pPr>
            <w:r>
              <w:rPr>
                <w:rFonts w:hint="eastAsia" w:ascii="宋体" w:hAnsi="宋体"/>
                <w:szCs w:val="21"/>
              </w:rPr>
              <w:t>开关、插座</w:t>
            </w:r>
          </w:p>
        </w:tc>
        <w:tc>
          <w:tcPr>
            <w:tcW w:w="6225" w:type="dxa"/>
            <w:vAlign w:val="center"/>
          </w:tcPr>
          <w:p>
            <w:pPr>
              <w:spacing w:line="360" w:lineRule="auto"/>
              <w:ind w:firstLine="420"/>
              <w:rPr>
                <w:rFonts w:ascii="宋体" w:hAnsi="宋体"/>
                <w:szCs w:val="21"/>
              </w:rPr>
            </w:pPr>
            <w:r>
              <w:rPr>
                <w:rFonts w:hint="eastAsia" w:ascii="宋体" w:hAnsi="宋体"/>
                <w:szCs w:val="21"/>
              </w:rPr>
              <w:t>1、开关、插座必须使用同一品牌同一系列的产品。</w:t>
            </w:r>
          </w:p>
          <w:p>
            <w:pPr>
              <w:spacing w:line="360" w:lineRule="auto"/>
              <w:ind w:firstLine="420"/>
              <w:rPr>
                <w:rFonts w:ascii="宋体" w:hAnsi="宋体"/>
                <w:szCs w:val="21"/>
              </w:rPr>
            </w:pPr>
            <w:r>
              <w:rPr>
                <w:rFonts w:hint="eastAsia" w:ascii="宋体" w:hAnsi="宋体"/>
                <w:szCs w:val="21"/>
              </w:rPr>
              <w:t>2、开关、插座采用磷青铜簧片，银或银合金触点。</w:t>
            </w:r>
          </w:p>
          <w:p>
            <w:pPr>
              <w:spacing w:line="360" w:lineRule="auto"/>
              <w:ind w:firstLine="420"/>
              <w:rPr>
                <w:rFonts w:ascii="宋体" w:hAnsi="宋体"/>
                <w:szCs w:val="21"/>
              </w:rPr>
            </w:pPr>
            <w:r>
              <w:rPr>
                <w:rFonts w:hint="eastAsia" w:ascii="宋体" w:hAnsi="宋体"/>
                <w:szCs w:val="21"/>
              </w:rPr>
              <w:t>3、开关面板采用大翘板型并且带荧光。</w:t>
            </w:r>
          </w:p>
          <w:p>
            <w:pPr>
              <w:spacing w:line="360" w:lineRule="auto"/>
              <w:ind w:firstLine="420"/>
              <w:rPr>
                <w:rFonts w:ascii="宋体" w:hAnsi="宋体"/>
                <w:szCs w:val="21"/>
              </w:rPr>
            </w:pPr>
            <w:r>
              <w:rPr>
                <w:rFonts w:hint="eastAsia" w:ascii="宋体" w:hAnsi="宋体"/>
                <w:szCs w:val="21"/>
              </w:rPr>
              <w:t>4、插座均带有安全门，安装高度≥1m(相对每层平面)需带有开断功能。</w:t>
            </w:r>
          </w:p>
          <w:p>
            <w:pPr>
              <w:spacing w:line="360" w:lineRule="auto"/>
              <w:ind w:firstLine="420"/>
              <w:rPr>
                <w:rFonts w:ascii="宋体" w:hAnsi="宋体"/>
                <w:szCs w:val="21"/>
              </w:rPr>
            </w:pPr>
            <w:r>
              <w:rPr>
                <w:rFonts w:hint="eastAsia" w:ascii="宋体" w:hAnsi="宋体"/>
                <w:szCs w:val="21"/>
              </w:rPr>
              <w:t>5、材料定货前要提供样品，报发包人审批后才能定货。</w:t>
            </w:r>
          </w:p>
          <w:p>
            <w:pPr>
              <w:spacing w:line="360" w:lineRule="auto"/>
              <w:ind w:firstLine="420"/>
              <w:rPr>
                <w:rFonts w:ascii="宋体" w:hAnsi="宋体"/>
                <w:szCs w:val="21"/>
              </w:rPr>
            </w:pPr>
            <w:r>
              <w:rPr>
                <w:rFonts w:hint="eastAsia" w:ascii="宋体" w:hAnsi="宋体"/>
                <w:szCs w:val="21"/>
              </w:rPr>
              <w:t>6、安装在地上的插座必须采用专用的地插。</w:t>
            </w:r>
          </w:p>
          <w:p>
            <w:pPr>
              <w:spacing w:line="360" w:lineRule="auto"/>
              <w:ind w:firstLine="420"/>
              <w:rPr>
                <w:rFonts w:ascii="宋体" w:hAnsi="宋体"/>
                <w:szCs w:val="21"/>
              </w:rPr>
            </w:pPr>
            <w:r>
              <w:rPr>
                <w:rFonts w:hint="eastAsia" w:ascii="宋体" w:hAnsi="宋体"/>
                <w:szCs w:val="21"/>
              </w:rPr>
              <w:t>6、插座需满足设计中要求的防护等级。</w:t>
            </w:r>
          </w:p>
          <w:p>
            <w:pPr>
              <w:spacing w:line="360" w:lineRule="auto"/>
              <w:ind w:firstLine="420"/>
              <w:rPr>
                <w:rFonts w:ascii="宋体" w:hAnsi="宋体"/>
                <w:szCs w:val="21"/>
              </w:rPr>
            </w:pPr>
            <w:r>
              <w:rPr>
                <w:rFonts w:hint="eastAsia" w:ascii="宋体" w:hAnsi="宋体"/>
                <w:szCs w:val="21"/>
              </w:rPr>
              <w:t>7、材料订货前要求提供样品供发包人确认后方可订货。</w:t>
            </w:r>
          </w:p>
          <w:p>
            <w:pPr>
              <w:spacing w:line="360" w:lineRule="auto"/>
              <w:ind w:firstLine="420"/>
              <w:rPr>
                <w:rFonts w:ascii="宋体" w:hAnsi="宋体"/>
                <w:szCs w:val="21"/>
              </w:rPr>
            </w:pPr>
            <w:r>
              <w:rPr>
                <w:rFonts w:hint="eastAsia" w:ascii="宋体" w:hAnsi="宋体"/>
                <w:szCs w:val="21"/>
              </w:rPr>
              <w:t>8、底盒必须符合明装或者暗装的要求。</w:t>
            </w: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c>
          <w:tcPr>
            <w:tcW w:w="721" w:type="dxa"/>
            <w:vAlign w:val="center"/>
          </w:tcPr>
          <w:p>
            <w:pPr>
              <w:spacing w:line="360" w:lineRule="auto"/>
              <w:jc w:val="center"/>
              <w:rPr>
                <w:rFonts w:ascii="宋体" w:hAnsi="宋体"/>
                <w:szCs w:val="21"/>
              </w:rPr>
            </w:pPr>
            <w:r>
              <w:rPr>
                <w:rFonts w:hint="eastAsia" w:ascii="宋体" w:hAnsi="宋体"/>
                <w:szCs w:val="21"/>
              </w:rPr>
              <w:t>5</w:t>
            </w:r>
          </w:p>
        </w:tc>
        <w:tc>
          <w:tcPr>
            <w:tcW w:w="1441" w:type="dxa"/>
            <w:vAlign w:val="center"/>
          </w:tcPr>
          <w:p>
            <w:pPr>
              <w:spacing w:line="360" w:lineRule="auto"/>
              <w:rPr>
                <w:rFonts w:ascii="宋体" w:hAnsi="宋体"/>
                <w:szCs w:val="21"/>
              </w:rPr>
            </w:pPr>
            <w:r>
              <w:rPr>
                <w:rFonts w:hint="eastAsia" w:ascii="宋体" w:hAnsi="宋体"/>
                <w:szCs w:val="21"/>
              </w:rPr>
              <w:t>照明灯具、光源</w:t>
            </w:r>
          </w:p>
        </w:tc>
        <w:tc>
          <w:tcPr>
            <w:tcW w:w="6225" w:type="dxa"/>
            <w:vAlign w:val="center"/>
          </w:tcPr>
          <w:p>
            <w:pPr>
              <w:spacing w:line="360" w:lineRule="auto"/>
              <w:ind w:firstLine="420"/>
              <w:rPr>
                <w:rFonts w:ascii="宋体" w:hAnsi="宋体"/>
                <w:szCs w:val="21"/>
              </w:rPr>
            </w:pPr>
            <w:r>
              <w:rPr>
                <w:rFonts w:hint="eastAsia" w:ascii="宋体" w:hAnsi="宋体"/>
                <w:szCs w:val="21"/>
              </w:rPr>
              <w:t>1 基本要求（款式、色温、功率、效率、光通量、尺寸）</w:t>
            </w:r>
          </w:p>
          <w:p>
            <w:pPr>
              <w:spacing w:line="360" w:lineRule="auto"/>
              <w:ind w:firstLine="420"/>
              <w:rPr>
                <w:rFonts w:ascii="宋体" w:hAnsi="宋体"/>
                <w:szCs w:val="21"/>
              </w:rPr>
            </w:pPr>
            <w:r>
              <w:rPr>
                <w:rFonts w:hint="eastAsia" w:ascii="宋体" w:hAnsi="宋体"/>
                <w:szCs w:val="21"/>
              </w:rPr>
              <w:t>1.1灯具、镇流器和光源为同一品牌。</w:t>
            </w:r>
          </w:p>
          <w:p>
            <w:pPr>
              <w:spacing w:line="360" w:lineRule="auto"/>
              <w:ind w:firstLine="420"/>
              <w:rPr>
                <w:rFonts w:ascii="宋体" w:hAnsi="宋体"/>
                <w:szCs w:val="21"/>
              </w:rPr>
            </w:pPr>
            <w:r>
              <w:rPr>
                <w:rFonts w:hint="eastAsia" w:ascii="宋体" w:hAnsi="宋体"/>
                <w:szCs w:val="21"/>
              </w:rPr>
              <w:t>1.2照明灯具的防护等级不低于IP20；</w:t>
            </w:r>
          </w:p>
          <w:p>
            <w:pPr>
              <w:spacing w:line="360" w:lineRule="auto"/>
              <w:ind w:firstLine="420"/>
              <w:rPr>
                <w:rFonts w:ascii="宋体" w:hAnsi="宋体"/>
                <w:szCs w:val="21"/>
              </w:rPr>
            </w:pPr>
            <w:r>
              <w:rPr>
                <w:rFonts w:hint="eastAsia" w:ascii="宋体" w:hAnsi="宋体"/>
                <w:szCs w:val="21"/>
              </w:rPr>
              <w:t>1.3灯具外壳有单独的接地端子，且接地牢固。</w:t>
            </w:r>
          </w:p>
          <w:p>
            <w:pPr>
              <w:spacing w:line="360" w:lineRule="auto"/>
              <w:ind w:firstLine="420"/>
              <w:rPr>
                <w:rFonts w:ascii="宋体" w:hAnsi="宋体"/>
                <w:szCs w:val="21"/>
              </w:rPr>
            </w:pPr>
            <w:r>
              <w:rPr>
                <w:rFonts w:hint="eastAsia" w:ascii="宋体" w:hAnsi="宋体"/>
                <w:szCs w:val="21"/>
              </w:rPr>
              <w:t>1.4选用高效节能灯具。</w:t>
            </w:r>
          </w:p>
          <w:p>
            <w:pPr>
              <w:spacing w:line="360" w:lineRule="auto"/>
              <w:ind w:firstLine="420"/>
              <w:rPr>
                <w:rFonts w:ascii="宋体" w:hAnsi="宋体"/>
                <w:szCs w:val="21"/>
              </w:rPr>
            </w:pPr>
            <w:r>
              <w:rPr>
                <w:rFonts w:hint="eastAsia" w:ascii="宋体" w:hAnsi="宋体"/>
                <w:szCs w:val="21"/>
              </w:rPr>
              <w:t>1.5支架灯、灯盘采用稀土三基色直管荧光灯，选用电子镇流器。</w:t>
            </w:r>
          </w:p>
          <w:p>
            <w:pPr>
              <w:spacing w:line="360" w:lineRule="auto"/>
              <w:ind w:firstLine="420"/>
              <w:rPr>
                <w:rFonts w:ascii="宋体" w:hAnsi="宋体"/>
                <w:szCs w:val="21"/>
              </w:rPr>
            </w:pPr>
            <w:r>
              <w:rPr>
                <w:rFonts w:hint="eastAsia" w:ascii="宋体" w:hAnsi="宋体"/>
                <w:szCs w:val="21"/>
              </w:rPr>
              <w:t>2、 照明灯具的要求</w:t>
            </w:r>
          </w:p>
          <w:p>
            <w:pPr>
              <w:spacing w:line="360" w:lineRule="auto"/>
              <w:ind w:firstLine="420"/>
              <w:rPr>
                <w:rFonts w:ascii="宋体" w:hAnsi="宋体"/>
                <w:szCs w:val="21"/>
              </w:rPr>
            </w:pPr>
            <w:r>
              <w:rPr>
                <w:rFonts w:hint="eastAsia" w:ascii="宋体" w:hAnsi="宋体"/>
                <w:szCs w:val="21"/>
              </w:rPr>
              <w:t>2.1 灯管支架</w:t>
            </w:r>
          </w:p>
          <w:p>
            <w:pPr>
              <w:spacing w:line="360" w:lineRule="auto"/>
              <w:ind w:firstLine="420"/>
              <w:rPr>
                <w:rFonts w:ascii="宋体" w:hAnsi="宋体"/>
                <w:szCs w:val="21"/>
              </w:rPr>
            </w:pPr>
            <w:r>
              <w:rPr>
                <w:rFonts w:hint="eastAsia" w:ascii="宋体" w:hAnsi="宋体"/>
                <w:szCs w:val="21"/>
              </w:rPr>
              <w:t>主体材料：≥0.5mm厚优质冷轧钢板；表面处理：除油、除锈、磷化处理、静电喷塑；</w:t>
            </w:r>
          </w:p>
          <w:p>
            <w:pPr>
              <w:spacing w:line="360" w:lineRule="auto"/>
              <w:ind w:firstLine="420"/>
              <w:rPr>
                <w:rFonts w:ascii="宋体" w:hAnsi="宋体"/>
                <w:szCs w:val="21"/>
              </w:rPr>
            </w:pPr>
            <w:r>
              <w:rPr>
                <w:rFonts w:hint="eastAsia" w:ascii="宋体" w:hAnsi="宋体"/>
                <w:szCs w:val="21"/>
              </w:rPr>
              <w:t>支架脚座：高强度阻燃塑料，耐温≥120℃，灯管采用推进旋转方式安装；</w:t>
            </w:r>
          </w:p>
          <w:p>
            <w:pPr>
              <w:spacing w:line="360" w:lineRule="auto"/>
              <w:ind w:firstLine="420"/>
              <w:rPr>
                <w:rFonts w:ascii="宋体" w:hAnsi="宋体"/>
                <w:szCs w:val="21"/>
              </w:rPr>
            </w:pPr>
            <w:r>
              <w:rPr>
                <w:rFonts w:hint="eastAsia" w:ascii="宋体" w:hAnsi="宋体"/>
                <w:szCs w:val="21"/>
              </w:rPr>
              <w:t>灯内接线：名优阻燃电线；配置电器：电子镇流器。</w:t>
            </w:r>
          </w:p>
          <w:p>
            <w:pPr>
              <w:spacing w:line="360" w:lineRule="auto"/>
              <w:ind w:firstLine="420"/>
              <w:rPr>
                <w:rFonts w:ascii="宋体" w:hAnsi="宋体"/>
                <w:szCs w:val="21"/>
              </w:rPr>
            </w:pPr>
            <w:r>
              <w:rPr>
                <w:rFonts w:hint="eastAsia" w:ascii="宋体" w:hAnsi="宋体"/>
                <w:szCs w:val="21"/>
              </w:rPr>
              <w:t>2.2格栅灯盘</w:t>
            </w:r>
          </w:p>
          <w:p>
            <w:pPr>
              <w:spacing w:line="360" w:lineRule="auto"/>
              <w:ind w:right="22" w:firstLine="420" w:firstLineChars="200"/>
              <w:rPr>
                <w:rFonts w:ascii="宋体" w:hAnsi="宋体"/>
                <w:szCs w:val="21"/>
              </w:rPr>
            </w:pPr>
            <w:r>
              <w:rPr>
                <w:rFonts w:hint="eastAsia" w:ascii="宋体" w:hAnsi="宋体"/>
                <w:szCs w:val="21"/>
              </w:rPr>
              <w:t>灯具材质：高强度冷轧钢板，厚度＞0.5 mm，采用粉体喷塑，颜色白色，材料环保加工工艺；整体采用焊接，焊接口平整光滑。</w:t>
            </w:r>
            <w:r>
              <w:rPr>
                <w:rFonts w:ascii="宋体" w:hAnsi="宋体"/>
                <w:szCs w:val="21"/>
              </w:rPr>
              <w:tab/>
            </w:r>
            <w:r>
              <w:rPr>
                <w:rFonts w:hint="eastAsia" w:ascii="宋体" w:hAnsi="宋体"/>
                <w:szCs w:val="21"/>
              </w:rPr>
              <w:t>底盘材料：≥0.5mm厚优质冷轧钢板；</w:t>
            </w:r>
          </w:p>
          <w:p>
            <w:pPr>
              <w:spacing w:line="360" w:lineRule="auto"/>
              <w:ind w:right="22" w:firstLine="420" w:firstLineChars="200"/>
              <w:rPr>
                <w:rFonts w:ascii="宋体" w:hAnsi="宋体"/>
                <w:szCs w:val="21"/>
              </w:rPr>
            </w:pPr>
            <w:r>
              <w:rPr>
                <w:rFonts w:hint="eastAsia" w:ascii="宋体" w:hAnsi="宋体"/>
                <w:szCs w:val="21"/>
              </w:rPr>
              <w:t>反射罩：磨砂电化铝，双V格栅；反射器材质为纯铝（99.9%）,厚度为0.4mm。</w:t>
            </w:r>
          </w:p>
          <w:p>
            <w:pPr>
              <w:spacing w:line="360" w:lineRule="auto"/>
              <w:ind w:right="22" w:firstLine="420" w:firstLineChars="200"/>
              <w:rPr>
                <w:rFonts w:ascii="宋体" w:hAnsi="宋体"/>
                <w:szCs w:val="21"/>
              </w:rPr>
            </w:pPr>
            <w:r>
              <w:rPr>
                <w:rFonts w:hint="eastAsia" w:ascii="宋体" w:hAnsi="宋体"/>
                <w:szCs w:val="21"/>
              </w:rPr>
              <w:t>灯盘脚座：高强度阻燃塑料，耐温≥120℃，灯管采用推进旋转方式安装；</w:t>
            </w:r>
          </w:p>
          <w:p>
            <w:pPr>
              <w:spacing w:line="360" w:lineRule="auto"/>
              <w:ind w:right="22" w:firstLine="420" w:firstLineChars="200"/>
              <w:rPr>
                <w:rFonts w:ascii="宋体" w:hAnsi="宋体"/>
                <w:szCs w:val="21"/>
              </w:rPr>
            </w:pPr>
            <w:r>
              <w:rPr>
                <w:rFonts w:hint="eastAsia" w:ascii="宋体" w:hAnsi="宋体"/>
                <w:szCs w:val="21"/>
              </w:rPr>
              <w:t>表面处理：除油、除锈、磷化处理、静电喷塑；</w:t>
            </w:r>
          </w:p>
          <w:p>
            <w:pPr>
              <w:spacing w:line="360" w:lineRule="auto"/>
              <w:ind w:firstLine="420"/>
              <w:rPr>
                <w:rFonts w:ascii="宋体" w:hAnsi="宋体"/>
                <w:szCs w:val="21"/>
              </w:rPr>
            </w:pPr>
            <w:r>
              <w:rPr>
                <w:rFonts w:hint="eastAsia" w:ascii="宋体" w:hAnsi="宋体"/>
                <w:szCs w:val="21"/>
              </w:rPr>
              <w:t>灯内接线：名优阻燃电线；配置电器：电子镇流器。</w:t>
            </w:r>
          </w:p>
          <w:p>
            <w:pPr>
              <w:spacing w:line="360" w:lineRule="auto"/>
              <w:ind w:firstLine="420"/>
              <w:rPr>
                <w:rFonts w:ascii="宋体" w:hAnsi="宋体"/>
                <w:szCs w:val="21"/>
              </w:rPr>
            </w:pPr>
            <w:r>
              <w:rPr>
                <w:rFonts w:hint="eastAsia" w:ascii="宋体" w:hAnsi="宋体"/>
                <w:szCs w:val="21"/>
              </w:rPr>
              <w:t>3．照明光源、灯具及附属装置必须符合《建筑节能工程施工质量验收规范》GB50411-2007规定的相关要求。</w:t>
            </w:r>
          </w:p>
          <w:p>
            <w:pPr>
              <w:spacing w:line="360" w:lineRule="auto"/>
              <w:ind w:firstLine="420"/>
              <w:rPr>
                <w:rFonts w:ascii="宋体" w:hAnsi="宋体"/>
                <w:szCs w:val="21"/>
              </w:rPr>
            </w:pPr>
          </w:p>
          <w:p>
            <w:pPr>
              <w:spacing w:line="360" w:lineRule="auto"/>
              <w:ind w:firstLine="420"/>
              <w:rPr>
                <w:rFonts w:ascii="宋体" w:hAnsi="宋体"/>
                <w:szCs w:val="21"/>
              </w:rPr>
            </w:pPr>
            <w:r>
              <w:rPr>
                <w:rFonts w:hint="eastAsia" w:ascii="宋体" w:hAnsi="宋体"/>
                <w:szCs w:val="21"/>
              </w:rPr>
              <w:t>光源要求：</w:t>
            </w:r>
          </w:p>
          <w:p>
            <w:pPr>
              <w:spacing w:line="360" w:lineRule="auto"/>
              <w:ind w:firstLine="420"/>
              <w:rPr>
                <w:rFonts w:ascii="宋体" w:hAnsi="宋体"/>
                <w:szCs w:val="21"/>
              </w:rPr>
            </w:pPr>
            <w:r>
              <w:rPr>
                <w:rFonts w:hint="eastAsia" w:ascii="宋体" w:hAnsi="宋体"/>
                <w:szCs w:val="21"/>
              </w:rPr>
              <w:t>1、</w:t>
            </w:r>
            <w:r>
              <w:rPr>
                <w:rFonts w:ascii="宋体" w:hAnsi="宋体"/>
                <w:szCs w:val="21"/>
              </w:rPr>
              <w:t>T</w:t>
            </w:r>
            <w:r>
              <w:rPr>
                <w:rFonts w:hint="eastAsia" w:ascii="宋体" w:hAnsi="宋体"/>
                <w:szCs w:val="21"/>
              </w:rPr>
              <w:t>5荧光灯。</w:t>
            </w:r>
          </w:p>
          <w:p>
            <w:pPr>
              <w:spacing w:line="360" w:lineRule="auto"/>
              <w:ind w:firstLine="420"/>
              <w:rPr>
                <w:rFonts w:ascii="宋体" w:hAnsi="宋体"/>
                <w:szCs w:val="21"/>
              </w:rPr>
            </w:pPr>
            <w:r>
              <w:rPr>
                <w:rFonts w:hint="eastAsia" w:ascii="宋体" w:hAnsi="宋体"/>
                <w:szCs w:val="21"/>
              </w:rPr>
              <w:t>2、显色指数≥85。</w:t>
            </w:r>
          </w:p>
          <w:p>
            <w:pPr>
              <w:spacing w:line="360" w:lineRule="auto"/>
              <w:ind w:firstLine="420"/>
              <w:rPr>
                <w:rFonts w:ascii="宋体" w:hAnsi="宋体"/>
                <w:szCs w:val="21"/>
              </w:rPr>
            </w:pPr>
            <w:r>
              <w:rPr>
                <w:rFonts w:hint="eastAsia" w:ascii="宋体" w:hAnsi="宋体"/>
                <w:szCs w:val="21"/>
              </w:rPr>
              <w:t>2.3防水防尘灯：</w:t>
            </w:r>
          </w:p>
          <w:p>
            <w:pPr>
              <w:spacing w:line="360" w:lineRule="auto"/>
              <w:ind w:firstLine="420"/>
              <w:rPr>
                <w:rFonts w:ascii="宋体" w:hAnsi="宋体"/>
                <w:szCs w:val="21"/>
              </w:rPr>
            </w:pPr>
            <w:r>
              <w:rPr>
                <w:rFonts w:ascii="宋体" w:hAnsi="宋体"/>
                <w:szCs w:val="21"/>
              </w:rPr>
              <w:t>灯具本体采用乳白聚碳酸酯制成</w:t>
            </w:r>
          </w:p>
          <w:p>
            <w:pPr>
              <w:spacing w:line="360" w:lineRule="auto"/>
              <w:ind w:firstLine="420"/>
              <w:rPr>
                <w:rFonts w:ascii="宋体" w:hAnsi="宋体"/>
                <w:szCs w:val="21"/>
              </w:rPr>
            </w:pPr>
            <w:r>
              <w:rPr>
                <w:rFonts w:ascii="宋体" w:hAnsi="宋体"/>
                <w:szCs w:val="21"/>
              </w:rPr>
              <w:t>灯罩采用透明聚碳酸酯制成</w:t>
            </w:r>
          </w:p>
          <w:p>
            <w:pPr>
              <w:spacing w:line="360" w:lineRule="auto"/>
              <w:ind w:firstLine="420"/>
              <w:rPr>
                <w:rFonts w:ascii="宋体" w:hAnsi="宋体"/>
                <w:szCs w:val="21"/>
              </w:rPr>
            </w:pPr>
            <w:r>
              <w:rPr>
                <w:rFonts w:ascii="宋体" w:hAnsi="宋体"/>
                <w:szCs w:val="21"/>
              </w:rPr>
              <w:t>不锈钢夹扣和安装托架</w:t>
            </w:r>
          </w:p>
          <w:p>
            <w:pPr>
              <w:spacing w:line="360" w:lineRule="auto"/>
              <w:ind w:firstLine="420"/>
              <w:rPr>
                <w:rFonts w:ascii="宋体" w:hAnsi="宋体"/>
                <w:szCs w:val="21"/>
              </w:rPr>
            </w:pPr>
            <w:r>
              <w:rPr>
                <w:rFonts w:ascii="宋体" w:hAnsi="宋体"/>
                <w:szCs w:val="21"/>
              </w:rPr>
              <w:t>抗冲击，耐高温</w:t>
            </w:r>
          </w:p>
          <w:p>
            <w:pPr>
              <w:spacing w:line="360" w:lineRule="auto"/>
              <w:ind w:firstLine="420"/>
              <w:rPr>
                <w:rFonts w:ascii="宋体" w:hAnsi="宋体"/>
                <w:szCs w:val="21"/>
              </w:rPr>
            </w:pPr>
            <w:r>
              <w:rPr>
                <w:rFonts w:ascii="宋体" w:hAnsi="宋体"/>
                <w:szCs w:val="21"/>
              </w:rPr>
              <w:t>防护灯级：IP6</w:t>
            </w:r>
            <w:r>
              <w:rPr>
                <w:rFonts w:hint="eastAsia" w:ascii="宋体" w:hAnsi="宋体"/>
                <w:szCs w:val="21"/>
              </w:rPr>
              <w:t>4</w:t>
            </w:r>
          </w:p>
          <w:p>
            <w:pPr>
              <w:spacing w:line="360" w:lineRule="auto"/>
              <w:ind w:firstLine="420"/>
              <w:rPr>
                <w:rFonts w:ascii="宋体" w:hAnsi="宋体"/>
                <w:szCs w:val="21"/>
              </w:rPr>
            </w:pPr>
            <w:r>
              <w:rPr>
                <w:rFonts w:hint="eastAsia" w:ascii="宋体" w:hAnsi="宋体"/>
                <w:szCs w:val="21"/>
              </w:rPr>
              <w:t>2.4吸顶灯</w:t>
            </w:r>
          </w:p>
          <w:p>
            <w:pPr>
              <w:spacing w:line="360" w:lineRule="auto"/>
              <w:ind w:firstLine="420"/>
              <w:rPr>
                <w:rFonts w:ascii="宋体" w:hAnsi="宋体"/>
                <w:szCs w:val="21"/>
              </w:rPr>
            </w:pPr>
            <w:r>
              <w:rPr>
                <w:rFonts w:hint="eastAsia" w:ascii="宋体" w:hAnsi="宋体"/>
                <w:szCs w:val="21"/>
              </w:rPr>
              <w:t>灯    体：高品质的PMMA有机玻璃灯罩</w:t>
            </w:r>
          </w:p>
          <w:p>
            <w:pPr>
              <w:spacing w:line="360" w:lineRule="auto"/>
              <w:ind w:firstLine="420"/>
              <w:rPr>
                <w:rFonts w:ascii="宋体" w:hAnsi="宋体"/>
                <w:szCs w:val="21"/>
              </w:rPr>
            </w:pPr>
            <w:r>
              <w:rPr>
                <w:rFonts w:hint="eastAsia" w:ascii="宋体" w:hAnsi="宋体"/>
                <w:szCs w:val="21"/>
              </w:rPr>
              <w:t>光    源：三基色环型荧光灯</w:t>
            </w:r>
          </w:p>
          <w:p>
            <w:pPr>
              <w:spacing w:line="360" w:lineRule="auto"/>
              <w:ind w:firstLine="420"/>
              <w:rPr>
                <w:rFonts w:ascii="宋体" w:hAnsi="宋体"/>
                <w:szCs w:val="21"/>
              </w:rPr>
            </w:pPr>
            <w:r>
              <w:rPr>
                <w:rFonts w:hint="eastAsia" w:ascii="宋体" w:hAnsi="宋体"/>
                <w:szCs w:val="21"/>
              </w:rPr>
              <w:t>变 压 器：电子镇流器</w:t>
            </w:r>
          </w:p>
          <w:p>
            <w:pPr>
              <w:spacing w:line="360" w:lineRule="auto"/>
              <w:ind w:firstLine="420"/>
              <w:rPr>
                <w:rFonts w:ascii="宋体" w:hAnsi="宋体"/>
                <w:szCs w:val="21"/>
              </w:rPr>
            </w:pPr>
            <w:r>
              <w:rPr>
                <w:rFonts w:hint="eastAsia" w:ascii="宋体" w:hAnsi="宋体"/>
                <w:szCs w:val="21"/>
              </w:rPr>
              <w:t>灯内接线：名优阻燃电线；</w:t>
            </w:r>
          </w:p>
          <w:p>
            <w:pPr>
              <w:spacing w:line="360" w:lineRule="auto"/>
              <w:ind w:firstLine="420"/>
              <w:rPr>
                <w:rFonts w:ascii="宋体" w:hAnsi="宋体"/>
                <w:szCs w:val="21"/>
              </w:rPr>
            </w:pPr>
            <w:r>
              <w:rPr>
                <w:rFonts w:hint="eastAsia" w:ascii="宋体" w:hAnsi="宋体"/>
                <w:szCs w:val="21"/>
              </w:rPr>
              <w:t>盘体和反射罩的连接方式：卡簧连接</w:t>
            </w:r>
          </w:p>
          <w:p>
            <w:pPr>
              <w:spacing w:line="360" w:lineRule="auto"/>
              <w:ind w:firstLine="420"/>
              <w:rPr>
                <w:rFonts w:ascii="宋体" w:hAnsi="宋体"/>
                <w:szCs w:val="21"/>
              </w:rPr>
            </w:pPr>
            <w:r>
              <w:rPr>
                <w:rFonts w:hint="eastAsia" w:ascii="宋体" w:hAnsi="宋体"/>
                <w:szCs w:val="21"/>
              </w:rPr>
              <w:t>2.5节能筒灯</w:t>
            </w:r>
          </w:p>
          <w:p>
            <w:pPr>
              <w:spacing w:line="360" w:lineRule="auto"/>
              <w:ind w:firstLine="420"/>
              <w:rPr>
                <w:rFonts w:ascii="宋体" w:hAnsi="宋体"/>
                <w:szCs w:val="21"/>
              </w:rPr>
            </w:pPr>
            <w:r>
              <w:rPr>
                <w:rFonts w:hint="eastAsia" w:ascii="宋体" w:hAnsi="宋体"/>
                <w:szCs w:val="21"/>
              </w:rPr>
              <w:t>灯    体：高品质铝合金，高压铸铝环</w:t>
            </w:r>
          </w:p>
          <w:p>
            <w:pPr>
              <w:spacing w:line="360" w:lineRule="auto"/>
              <w:ind w:firstLine="420"/>
              <w:rPr>
                <w:rFonts w:ascii="宋体" w:hAnsi="宋体"/>
                <w:szCs w:val="21"/>
              </w:rPr>
            </w:pPr>
            <w:r>
              <w:rPr>
                <w:rFonts w:hint="eastAsia" w:ascii="宋体" w:hAnsi="宋体"/>
                <w:szCs w:val="21"/>
              </w:rPr>
              <w:t>反射罩材质: 高纯铝阳极氧化反射罩</w:t>
            </w:r>
          </w:p>
          <w:p>
            <w:pPr>
              <w:spacing w:line="360" w:lineRule="auto"/>
              <w:ind w:firstLine="420"/>
              <w:rPr>
                <w:rFonts w:ascii="宋体" w:hAnsi="宋体"/>
                <w:szCs w:val="21"/>
              </w:rPr>
            </w:pPr>
            <w:r>
              <w:rPr>
                <w:rFonts w:hint="eastAsia" w:ascii="宋体" w:hAnsi="宋体"/>
                <w:szCs w:val="21"/>
              </w:rPr>
              <w:t>防护等级: IP20</w:t>
            </w:r>
          </w:p>
          <w:p>
            <w:pPr>
              <w:spacing w:line="360" w:lineRule="auto"/>
              <w:ind w:firstLine="420"/>
              <w:rPr>
                <w:rFonts w:ascii="宋体" w:hAnsi="宋体"/>
                <w:szCs w:val="21"/>
              </w:rPr>
            </w:pPr>
            <w:r>
              <w:rPr>
                <w:rFonts w:hint="eastAsia" w:ascii="宋体" w:hAnsi="宋体"/>
                <w:szCs w:val="21"/>
              </w:rPr>
              <w:t>光    源：插拔式荧光灯</w:t>
            </w:r>
          </w:p>
          <w:p>
            <w:pPr>
              <w:spacing w:line="360" w:lineRule="auto"/>
              <w:ind w:firstLine="420"/>
              <w:rPr>
                <w:rFonts w:ascii="宋体" w:hAnsi="宋体"/>
                <w:szCs w:val="21"/>
              </w:rPr>
            </w:pPr>
            <w:r>
              <w:rPr>
                <w:rFonts w:hint="eastAsia" w:ascii="宋体" w:hAnsi="宋体"/>
                <w:szCs w:val="21"/>
              </w:rPr>
              <w:t>电    器：电感镇流器</w:t>
            </w:r>
          </w:p>
          <w:p>
            <w:pPr>
              <w:spacing w:line="360" w:lineRule="auto"/>
              <w:ind w:firstLine="420"/>
              <w:rPr>
                <w:rFonts w:ascii="宋体" w:hAnsi="宋体"/>
                <w:szCs w:val="21"/>
              </w:rPr>
            </w:pPr>
            <w:r>
              <w:rPr>
                <w:rFonts w:hint="eastAsia" w:ascii="宋体" w:hAnsi="宋体"/>
                <w:szCs w:val="21"/>
              </w:rPr>
              <w:t>灯    头：PLC</w:t>
            </w:r>
          </w:p>
          <w:p>
            <w:pPr>
              <w:spacing w:line="360" w:lineRule="auto"/>
              <w:ind w:firstLine="420"/>
              <w:rPr>
                <w:rFonts w:ascii="宋体" w:hAnsi="宋体"/>
                <w:szCs w:val="21"/>
              </w:rPr>
            </w:pPr>
            <w:r>
              <w:rPr>
                <w:rFonts w:hint="eastAsia" w:ascii="宋体" w:hAnsi="宋体"/>
                <w:szCs w:val="21"/>
              </w:rPr>
              <w:t>安装形式：嵌入式安装</w:t>
            </w:r>
          </w:p>
          <w:p>
            <w:pPr>
              <w:spacing w:line="360" w:lineRule="auto"/>
              <w:ind w:firstLine="420"/>
              <w:rPr>
                <w:rFonts w:ascii="宋体" w:hAnsi="宋体"/>
                <w:szCs w:val="21"/>
              </w:rPr>
            </w:pPr>
            <w:r>
              <w:rPr>
                <w:rFonts w:hint="eastAsia" w:ascii="宋体" w:hAnsi="宋体"/>
                <w:szCs w:val="21"/>
              </w:rPr>
              <w:t>灯具供电：220V/50HZ</w:t>
            </w:r>
          </w:p>
          <w:p>
            <w:pPr>
              <w:spacing w:line="360" w:lineRule="auto"/>
              <w:ind w:firstLine="420"/>
              <w:rPr>
                <w:rFonts w:ascii="宋体" w:hAnsi="宋体"/>
                <w:szCs w:val="21"/>
              </w:rPr>
            </w:pPr>
            <w:r>
              <w:rPr>
                <w:rFonts w:hint="eastAsia" w:ascii="宋体" w:hAnsi="宋体"/>
                <w:szCs w:val="21"/>
              </w:rPr>
              <w:t>2.6金卤筒灯</w:t>
            </w:r>
          </w:p>
          <w:p>
            <w:pPr>
              <w:spacing w:line="360" w:lineRule="auto"/>
              <w:ind w:firstLine="420"/>
              <w:rPr>
                <w:rFonts w:ascii="宋体" w:hAnsi="宋体"/>
                <w:szCs w:val="21"/>
              </w:rPr>
            </w:pPr>
            <w:r>
              <w:rPr>
                <w:rFonts w:hint="eastAsia" w:ascii="宋体" w:hAnsi="宋体"/>
                <w:szCs w:val="21"/>
              </w:rPr>
              <w:t>灯体材质：高品质铝合金，高压铸铝环，</w:t>
            </w:r>
          </w:p>
          <w:p>
            <w:pPr>
              <w:spacing w:line="360" w:lineRule="auto"/>
              <w:ind w:firstLine="420"/>
              <w:rPr>
                <w:rFonts w:ascii="宋体" w:hAnsi="宋体"/>
                <w:szCs w:val="21"/>
              </w:rPr>
            </w:pPr>
            <w:r>
              <w:rPr>
                <w:rFonts w:hint="eastAsia" w:ascii="宋体" w:hAnsi="宋体"/>
                <w:szCs w:val="21"/>
              </w:rPr>
              <w:t xml:space="preserve">反射罩材质：高纯铝阳极氧化反射罩 </w:t>
            </w:r>
          </w:p>
          <w:p>
            <w:pPr>
              <w:spacing w:line="360" w:lineRule="auto"/>
              <w:ind w:firstLine="420"/>
              <w:rPr>
                <w:rFonts w:ascii="宋体" w:hAnsi="宋体"/>
                <w:szCs w:val="21"/>
              </w:rPr>
            </w:pPr>
            <w:r>
              <w:rPr>
                <w:rFonts w:hint="eastAsia" w:ascii="宋体" w:hAnsi="宋体"/>
                <w:szCs w:val="21"/>
              </w:rPr>
              <w:t>防护等级：IP20</w:t>
            </w:r>
          </w:p>
          <w:p>
            <w:pPr>
              <w:spacing w:line="360" w:lineRule="auto"/>
              <w:ind w:firstLine="420"/>
              <w:rPr>
                <w:rFonts w:ascii="宋体" w:hAnsi="宋体"/>
                <w:szCs w:val="21"/>
              </w:rPr>
            </w:pPr>
            <w:r>
              <w:rPr>
                <w:rFonts w:hint="eastAsia" w:ascii="宋体" w:hAnsi="宋体"/>
                <w:szCs w:val="21"/>
              </w:rPr>
              <w:t>光源类型：陶瓷金卤灯</w:t>
            </w:r>
          </w:p>
          <w:p>
            <w:pPr>
              <w:spacing w:line="360" w:lineRule="auto"/>
              <w:ind w:firstLine="420"/>
              <w:rPr>
                <w:rFonts w:ascii="宋体" w:hAnsi="宋体"/>
                <w:szCs w:val="21"/>
              </w:rPr>
            </w:pPr>
            <w:r>
              <w:rPr>
                <w:rFonts w:hint="eastAsia" w:ascii="宋体" w:hAnsi="宋体"/>
                <w:szCs w:val="21"/>
              </w:rPr>
              <w:t>整镇器类型: 高效节能电感镇流器</w:t>
            </w:r>
          </w:p>
          <w:p>
            <w:pPr>
              <w:spacing w:line="360" w:lineRule="auto"/>
              <w:ind w:firstLine="420"/>
              <w:rPr>
                <w:rFonts w:ascii="宋体" w:hAnsi="宋体"/>
                <w:szCs w:val="21"/>
              </w:rPr>
            </w:pPr>
            <w:r>
              <w:rPr>
                <w:rFonts w:hint="eastAsia" w:ascii="宋体" w:hAnsi="宋体"/>
                <w:szCs w:val="21"/>
              </w:rPr>
              <w:t>装置类型: 灯具外</w:t>
            </w:r>
          </w:p>
          <w:p>
            <w:pPr>
              <w:spacing w:line="360" w:lineRule="auto"/>
              <w:ind w:firstLine="420"/>
              <w:rPr>
                <w:rFonts w:ascii="宋体" w:hAnsi="宋体"/>
                <w:szCs w:val="21"/>
              </w:rPr>
            </w:pPr>
            <w:r>
              <w:rPr>
                <w:rFonts w:hint="eastAsia" w:ascii="宋体" w:hAnsi="宋体"/>
                <w:szCs w:val="21"/>
              </w:rPr>
              <w:t>安装: 嵌入式</w:t>
            </w:r>
          </w:p>
          <w:p>
            <w:pPr>
              <w:spacing w:line="360" w:lineRule="auto"/>
              <w:ind w:firstLine="420"/>
              <w:rPr>
                <w:rFonts w:ascii="宋体" w:hAnsi="宋体"/>
                <w:szCs w:val="21"/>
              </w:rPr>
            </w:pPr>
            <w:r>
              <w:rPr>
                <w:rFonts w:hint="eastAsia" w:ascii="宋体" w:hAnsi="宋体"/>
                <w:szCs w:val="21"/>
              </w:rPr>
              <w:t>2.7工矿灯</w:t>
            </w:r>
          </w:p>
          <w:p>
            <w:pPr>
              <w:spacing w:line="360" w:lineRule="auto"/>
              <w:ind w:firstLine="420"/>
              <w:rPr>
                <w:rFonts w:ascii="宋体" w:hAnsi="宋体"/>
                <w:szCs w:val="21"/>
              </w:rPr>
            </w:pPr>
            <w:r>
              <w:rPr>
                <w:rFonts w:hint="eastAsia" w:ascii="宋体" w:hAnsi="宋体"/>
                <w:szCs w:val="21"/>
              </w:rPr>
              <w:t>灯    体：高纯铝</w:t>
            </w:r>
          </w:p>
          <w:p>
            <w:pPr>
              <w:spacing w:line="360" w:lineRule="auto"/>
              <w:ind w:firstLine="420"/>
              <w:rPr>
                <w:rFonts w:ascii="宋体" w:hAnsi="宋体"/>
                <w:szCs w:val="21"/>
              </w:rPr>
            </w:pPr>
            <w:r>
              <w:rPr>
                <w:rFonts w:hint="eastAsia" w:ascii="宋体" w:hAnsi="宋体"/>
                <w:szCs w:val="21"/>
              </w:rPr>
              <w:t>光    源：陶瓷金卤灯</w:t>
            </w:r>
          </w:p>
          <w:p>
            <w:pPr>
              <w:spacing w:line="360" w:lineRule="auto"/>
              <w:ind w:firstLine="420"/>
              <w:rPr>
                <w:rFonts w:ascii="宋体" w:hAnsi="宋体"/>
                <w:szCs w:val="21"/>
              </w:rPr>
            </w:pPr>
            <w:r>
              <w:rPr>
                <w:rFonts w:hint="eastAsia" w:ascii="宋体" w:hAnsi="宋体"/>
                <w:szCs w:val="21"/>
              </w:rPr>
              <w:t>镇流器：电感镇流器</w:t>
            </w:r>
          </w:p>
          <w:p>
            <w:pPr>
              <w:spacing w:line="360" w:lineRule="auto"/>
              <w:ind w:firstLine="420"/>
              <w:rPr>
                <w:rFonts w:ascii="宋体" w:hAnsi="宋体"/>
                <w:szCs w:val="21"/>
              </w:rPr>
            </w:pPr>
            <w:r>
              <w:rPr>
                <w:rFonts w:hint="eastAsia" w:ascii="宋体" w:hAnsi="宋体"/>
                <w:szCs w:val="21"/>
              </w:rPr>
              <w:t>灯具供电：220V/50HZ</w:t>
            </w:r>
          </w:p>
          <w:p>
            <w:pPr>
              <w:pBdr>
                <w:top w:val="none" w:color="000000" w:sz="0" w:space="0"/>
                <w:left w:val="none" w:color="000000" w:sz="0" w:space="0"/>
                <w:bottom w:val="none" w:color="000000" w:sz="0" w:space="0"/>
                <w:right w:val="none" w:color="000000" w:sz="0" w:space="0"/>
              </w:pBdr>
              <w:autoSpaceDN w:val="0"/>
              <w:spacing w:line="360" w:lineRule="auto"/>
              <w:ind w:firstLine="420" w:firstLineChars="200"/>
              <w:rPr>
                <w:bCs/>
              </w:rPr>
            </w:pPr>
            <w:r>
              <w:rPr>
                <w:rFonts w:hint="eastAsia"/>
              </w:rPr>
              <w:t>2.8带透光板的灯具，透光板的透光率在85%以上。</w:t>
            </w:r>
          </w:p>
          <w:p>
            <w:pPr>
              <w:spacing w:line="360" w:lineRule="auto"/>
              <w:ind w:firstLine="420"/>
              <w:rPr>
                <w:rFonts w:ascii="宋体" w:hAnsi="宋体"/>
                <w:szCs w:val="21"/>
              </w:rPr>
            </w:pPr>
          </w:p>
          <w:p>
            <w:pPr>
              <w:spacing w:line="360" w:lineRule="auto"/>
              <w:ind w:firstLine="420"/>
              <w:rPr>
                <w:rFonts w:ascii="宋体" w:hAnsi="宋体"/>
                <w:szCs w:val="21"/>
              </w:rPr>
            </w:pPr>
            <w:r>
              <w:rPr>
                <w:rFonts w:hint="eastAsia" w:ascii="宋体" w:hAnsi="宋体"/>
                <w:szCs w:val="21"/>
              </w:rPr>
              <w:t>4、中标单位在灯具采购订货前必须提供样品供发包人确认后方可采购。</w:t>
            </w:r>
          </w:p>
          <w:p>
            <w:pPr>
              <w:spacing w:line="360" w:lineRule="auto"/>
              <w:ind w:firstLine="420"/>
              <w:rPr>
                <w:rFonts w:ascii="宋体" w:hAnsi="宋体"/>
                <w:szCs w:val="21"/>
              </w:rPr>
            </w:pP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jc w:val="center"/>
              <w:rPr>
                <w:rFonts w:ascii="宋体" w:hAnsi="宋体"/>
                <w:szCs w:val="21"/>
              </w:rPr>
            </w:pPr>
            <w:r>
              <w:rPr>
                <w:rFonts w:hint="eastAsia" w:ascii="宋体" w:hAnsi="宋体"/>
                <w:szCs w:val="21"/>
              </w:rPr>
              <w:t>6</w:t>
            </w:r>
          </w:p>
        </w:tc>
        <w:tc>
          <w:tcPr>
            <w:tcW w:w="1441" w:type="dxa"/>
            <w:vAlign w:val="center"/>
          </w:tcPr>
          <w:p>
            <w:pPr>
              <w:spacing w:line="360" w:lineRule="auto"/>
              <w:rPr>
                <w:rFonts w:ascii="宋体" w:hAnsi="宋体"/>
                <w:szCs w:val="21"/>
              </w:rPr>
            </w:pPr>
            <w:r>
              <w:rPr>
                <w:rFonts w:hint="eastAsia" w:ascii="宋体" w:hAnsi="宋体"/>
                <w:szCs w:val="21"/>
              </w:rPr>
              <w:t>镀锌钢管</w:t>
            </w:r>
          </w:p>
          <w:p>
            <w:pPr>
              <w:spacing w:line="360" w:lineRule="auto"/>
              <w:rPr>
                <w:rFonts w:ascii="宋体" w:hAnsi="宋体"/>
                <w:szCs w:val="21"/>
              </w:rPr>
            </w:pPr>
            <w:r>
              <w:rPr>
                <w:rFonts w:hint="eastAsia" w:ascii="宋体" w:hAnsi="宋体"/>
                <w:szCs w:val="21"/>
              </w:rPr>
              <w:t>（含强弱电工程）</w:t>
            </w:r>
          </w:p>
        </w:tc>
        <w:tc>
          <w:tcPr>
            <w:tcW w:w="6225" w:type="dxa"/>
            <w:vAlign w:val="center"/>
          </w:tcPr>
          <w:p>
            <w:pPr>
              <w:spacing w:line="360" w:lineRule="auto"/>
              <w:ind w:firstLine="420"/>
              <w:rPr>
                <w:rFonts w:ascii="宋体" w:hAnsi="宋体"/>
                <w:szCs w:val="21"/>
              </w:rPr>
            </w:pPr>
            <w:r>
              <w:rPr>
                <w:rFonts w:hint="eastAsia" w:ascii="宋体" w:hAnsi="宋体"/>
                <w:szCs w:val="21"/>
              </w:rPr>
              <w:t>1、生产厂家注册资金不少于1000万元。</w:t>
            </w:r>
          </w:p>
          <w:p>
            <w:pPr>
              <w:spacing w:line="360" w:lineRule="auto"/>
              <w:ind w:firstLine="420"/>
              <w:rPr>
                <w:rFonts w:ascii="宋体" w:hAnsi="宋体"/>
                <w:szCs w:val="21"/>
              </w:rPr>
            </w:pPr>
            <w:r>
              <w:rPr>
                <w:rFonts w:hint="eastAsia" w:ascii="宋体" w:hAnsi="宋体"/>
                <w:szCs w:val="21"/>
              </w:rPr>
              <w:t>2、符合GB3091、GB/T14823.1-1993、GB3640等中国国家标准。</w:t>
            </w:r>
          </w:p>
          <w:p>
            <w:pPr>
              <w:spacing w:line="360" w:lineRule="auto"/>
              <w:ind w:firstLine="420"/>
              <w:rPr>
                <w:rFonts w:ascii="宋体" w:hAnsi="宋体"/>
                <w:szCs w:val="21"/>
              </w:rPr>
            </w:pPr>
            <w:r>
              <w:rPr>
                <w:rFonts w:hint="eastAsia" w:ascii="宋体" w:hAnsi="宋体"/>
                <w:szCs w:val="21"/>
              </w:rPr>
              <w:t>3、钢管长度的偏差应在允许的范围内，即全长允许偏差在20mm以内。</w:t>
            </w:r>
          </w:p>
          <w:p>
            <w:pPr>
              <w:spacing w:line="360" w:lineRule="auto"/>
              <w:ind w:firstLine="420"/>
              <w:rPr>
                <w:rFonts w:ascii="宋体" w:hAnsi="宋体"/>
                <w:szCs w:val="21"/>
              </w:rPr>
            </w:pPr>
            <w:r>
              <w:rPr>
                <w:rFonts w:hint="eastAsia" w:ascii="宋体" w:hAnsi="宋体"/>
                <w:szCs w:val="21"/>
              </w:rPr>
              <w:t>4、钢管的弯曲度应在允许范围内，即每米不大于3mm。</w:t>
            </w:r>
          </w:p>
          <w:p>
            <w:pPr>
              <w:spacing w:line="360" w:lineRule="auto"/>
              <w:ind w:firstLine="420"/>
              <w:rPr>
                <w:rFonts w:ascii="宋体" w:hAnsi="宋体"/>
                <w:szCs w:val="21"/>
              </w:rPr>
            </w:pPr>
            <w:r>
              <w:rPr>
                <w:rFonts w:hint="eastAsia" w:ascii="宋体" w:hAnsi="宋体"/>
                <w:szCs w:val="21"/>
              </w:rPr>
              <w:t>5、钢管的壁厚应均匀、一致，不应有折扁、裂缝、砂眼、塌陷等现象。</w:t>
            </w:r>
          </w:p>
          <w:p>
            <w:pPr>
              <w:spacing w:line="360" w:lineRule="auto"/>
              <w:ind w:firstLine="420"/>
              <w:rPr>
                <w:rFonts w:ascii="宋体" w:hAnsi="宋体"/>
                <w:szCs w:val="21"/>
              </w:rPr>
            </w:pPr>
            <w:r>
              <w:rPr>
                <w:rFonts w:hint="eastAsia" w:ascii="宋体" w:hAnsi="宋体"/>
                <w:szCs w:val="21"/>
              </w:rPr>
              <w:t>6、内外表面应光滑，不应有折叠、裂缝、搭焊、缺焊、毛刺的现象。</w:t>
            </w:r>
          </w:p>
          <w:p>
            <w:pPr>
              <w:spacing w:line="360" w:lineRule="auto"/>
              <w:ind w:firstLine="420"/>
              <w:rPr>
                <w:rFonts w:ascii="宋体" w:hAnsi="宋体"/>
                <w:szCs w:val="21"/>
              </w:rPr>
            </w:pPr>
            <w:r>
              <w:rPr>
                <w:rFonts w:hint="eastAsia" w:ascii="宋体" w:hAnsi="宋体"/>
                <w:szCs w:val="21"/>
              </w:rPr>
              <w:t>7、镀锌层应均匀一致、完好无损，不得有剥落、气泡的现象。</w:t>
            </w:r>
          </w:p>
          <w:p>
            <w:pPr>
              <w:spacing w:line="360" w:lineRule="auto"/>
              <w:ind w:firstLine="420"/>
              <w:rPr>
                <w:rFonts w:ascii="宋体" w:hAnsi="宋体"/>
                <w:szCs w:val="21"/>
              </w:rPr>
            </w:pPr>
            <w:r>
              <w:rPr>
                <w:rFonts w:hint="eastAsia" w:ascii="宋体" w:hAnsi="宋体"/>
                <w:szCs w:val="21"/>
              </w:rPr>
              <w:t>8、管箍的大小应符合国家规范要求，丝扣清晰、均匀、不乱扣，镀锌层均匀，无剥落、无劈裂，两端光滑无毛刺。</w:t>
            </w:r>
          </w:p>
          <w:p>
            <w:pPr>
              <w:spacing w:line="360" w:lineRule="auto"/>
              <w:ind w:firstLine="420"/>
              <w:rPr>
                <w:rFonts w:ascii="宋体" w:hAnsi="宋体"/>
                <w:szCs w:val="21"/>
              </w:rPr>
            </w:pPr>
            <w:r>
              <w:rPr>
                <w:rFonts w:hint="eastAsia" w:ascii="宋体" w:hAnsi="宋体"/>
                <w:szCs w:val="21"/>
              </w:rPr>
              <w:t>9、紧螺母尺寸符合国家标准要求，外层完好无损，丝扣清晰，镀锌层均匀。</w:t>
            </w:r>
          </w:p>
          <w:p>
            <w:pPr>
              <w:spacing w:line="360" w:lineRule="auto"/>
              <w:ind w:firstLine="420"/>
              <w:rPr>
                <w:rFonts w:ascii="宋体" w:hAnsi="宋体"/>
                <w:szCs w:val="21"/>
              </w:rPr>
            </w:pPr>
            <w:r>
              <w:rPr>
                <w:rFonts w:hint="eastAsia" w:ascii="宋体" w:hAnsi="宋体"/>
                <w:szCs w:val="21"/>
              </w:rPr>
              <w:t>10、管内外径尺寸及壁厚应符合设计及国家现行技术标准，管壁厚均匀一致。</w:t>
            </w:r>
          </w:p>
          <w:p>
            <w:pPr>
              <w:spacing w:line="360" w:lineRule="auto"/>
              <w:ind w:firstLine="420"/>
              <w:rPr>
                <w:rFonts w:ascii="宋体" w:hAnsi="宋体"/>
                <w:szCs w:val="21"/>
              </w:rPr>
            </w:pPr>
            <w:r>
              <w:rPr>
                <w:rFonts w:hint="eastAsia" w:ascii="宋体" w:hAnsi="宋体"/>
                <w:szCs w:val="21"/>
              </w:rPr>
              <w:t>11、所选用钢管及相应的接线盒、底盒、盖板必须使用同一生产厂生产的产品。其所属配件、附件，均应外观整齐、开孔齐全，无劈裂、无锈蚀、损坏等现象。</w:t>
            </w:r>
          </w:p>
          <w:p>
            <w:pPr>
              <w:spacing w:line="360" w:lineRule="auto"/>
              <w:ind w:firstLine="420"/>
              <w:rPr>
                <w:rFonts w:ascii="宋体" w:hAnsi="宋体"/>
                <w:szCs w:val="21"/>
              </w:rPr>
            </w:pPr>
            <w:r>
              <w:rPr>
                <w:rFonts w:hint="eastAsia" w:ascii="宋体" w:hAnsi="宋体"/>
                <w:szCs w:val="21"/>
              </w:rPr>
              <w:t>12、国内大型钢铁厂产品，在钢管上必须有厂家名称、生产标准等标识。</w:t>
            </w:r>
          </w:p>
          <w:p>
            <w:pPr>
              <w:spacing w:line="360" w:lineRule="auto"/>
              <w:ind w:right="22" w:firstLine="420" w:firstLineChars="200"/>
              <w:rPr>
                <w:rFonts w:ascii="宋体" w:hAnsi="宋体"/>
                <w:szCs w:val="21"/>
              </w:rPr>
            </w:pPr>
            <w:r>
              <w:rPr>
                <w:rFonts w:hint="eastAsia" w:ascii="宋体" w:hAnsi="宋体"/>
                <w:szCs w:val="21"/>
              </w:rPr>
              <w:t>13、采用丝筘连接。</w:t>
            </w:r>
          </w:p>
          <w:p>
            <w:pPr>
              <w:spacing w:line="360" w:lineRule="auto"/>
              <w:ind w:firstLine="420"/>
              <w:rPr>
                <w:rFonts w:ascii="宋体" w:hAnsi="宋体"/>
                <w:szCs w:val="21"/>
              </w:rPr>
            </w:pPr>
            <w:r>
              <w:rPr>
                <w:rFonts w:hint="eastAsia" w:ascii="宋体" w:hAnsi="宋体"/>
                <w:szCs w:val="21"/>
              </w:rPr>
              <w:t>14、材料定货前要提供样品，报发包人审批后才能定货。</w:t>
            </w: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jc w:val="center"/>
              <w:rPr>
                <w:rFonts w:ascii="宋体" w:hAnsi="宋体"/>
                <w:szCs w:val="21"/>
              </w:rPr>
            </w:pPr>
            <w:r>
              <w:rPr>
                <w:rFonts w:hint="eastAsia" w:ascii="宋体" w:hAnsi="宋体"/>
                <w:szCs w:val="21"/>
              </w:rPr>
              <w:t>7</w:t>
            </w:r>
          </w:p>
        </w:tc>
        <w:tc>
          <w:tcPr>
            <w:tcW w:w="1441" w:type="dxa"/>
            <w:vAlign w:val="center"/>
          </w:tcPr>
          <w:p>
            <w:pPr>
              <w:spacing w:line="360" w:lineRule="auto"/>
              <w:rPr>
                <w:rFonts w:hAnsi="宋体"/>
                <w:bCs/>
                <w:szCs w:val="21"/>
              </w:rPr>
            </w:pPr>
            <w:r>
              <w:rPr>
                <w:rFonts w:hint="eastAsia" w:hAnsi="宋体"/>
                <w:bCs/>
                <w:szCs w:val="21"/>
              </w:rPr>
              <w:t>可挠性金属电线管</w:t>
            </w:r>
          </w:p>
        </w:tc>
        <w:tc>
          <w:tcPr>
            <w:tcW w:w="6225" w:type="dxa"/>
            <w:vAlign w:val="center"/>
          </w:tcPr>
          <w:p>
            <w:pPr>
              <w:spacing w:line="360" w:lineRule="auto"/>
              <w:ind w:right="22" w:firstLine="420" w:firstLineChars="200"/>
              <w:rPr>
                <w:rFonts w:ascii="宋体" w:hAnsi="宋体"/>
                <w:szCs w:val="21"/>
              </w:rPr>
            </w:pPr>
            <w:r>
              <w:rPr>
                <w:rFonts w:hint="eastAsia" w:ascii="宋体" w:hAnsi="宋体"/>
                <w:szCs w:val="21"/>
              </w:rPr>
              <w:t>1、生产厂家注册资金不低于1000万元。</w:t>
            </w:r>
          </w:p>
          <w:p>
            <w:pPr>
              <w:spacing w:line="360" w:lineRule="auto"/>
              <w:ind w:right="22" w:firstLine="420" w:firstLineChars="200"/>
              <w:rPr>
                <w:rFonts w:ascii="宋体" w:hAnsi="宋体"/>
                <w:szCs w:val="21"/>
              </w:rPr>
            </w:pPr>
            <w:r>
              <w:rPr>
                <w:rFonts w:hint="eastAsia" w:ascii="宋体" w:hAnsi="宋体"/>
                <w:szCs w:val="21"/>
              </w:rPr>
              <w:t>2、可挠性金属电线管必须外包阻燃的PVC护套，并配置各种类型的专用连接头。连接头必须稳固于金属管或设备外壳上，以避免由于接头连接不牢使电线、电缆暴露而受损。</w:t>
            </w:r>
          </w:p>
          <w:p>
            <w:pPr>
              <w:spacing w:line="360" w:lineRule="auto"/>
              <w:ind w:right="22" w:firstLine="420" w:firstLineChars="200"/>
              <w:rPr>
                <w:rFonts w:ascii="宋体" w:hAnsi="宋体"/>
                <w:szCs w:val="21"/>
              </w:rPr>
            </w:pPr>
            <w:r>
              <w:rPr>
                <w:rFonts w:hint="eastAsia" w:ascii="宋体" w:hAnsi="宋体"/>
                <w:szCs w:val="21"/>
              </w:rPr>
              <w:t>3、可挠性金属电线管在扭曲时不应脱绞。</w:t>
            </w:r>
          </w:p>
          <w:p>
            <w:pPr>
              <w:spacing w:line="360" w:lineRule="auto"/>
              <w:ind w:right="22" w:firstLine="420" w:firstLineChars="200"/>
              <w:rPr>
                <w:rFonts w:ascii="宋体" w:hAnsi="宋体"/>
                <w:szCs w:val="21"/>
              </w:rPr>
            </w:pPr>
            <w:r>
              <w:rPr>
                <w:rFonts w:hint="eastAsia" w:ascii="宋体" w:hAnsi="宋体"/>
                <w:szCs w:val="21"/>
              </w:rPr>
              <w:t>4、金属电线管上必须有厂家名称、生产标准等标识。</w:t>
            </w:r>
          </w:p>
          <w:p>
            <w:pPr>
              <w:spacing w:line="360" w:lineRule="auto"/>
              <w:ind w:right="22" w:firstLine="420" w:firstLineChars="200"/>
              <w:rPr>
                <w:rFonts w:ascii="宋体" w:hAnsi="宋体"/>
                <w:szCs w:val="21"/>
              </w:rPr>
            </w:pPr>
            <w:r>
              <w:rPr>
                <w:rFonts w:hint="eastAsia" w:ascii="宋体" w:hAnsi="宋体"/>
                <w:szCs w:val="21"/>
              </w:rPr>
              <w:t>5、材料订货前要求提供样品，报招标人、设计、监理确认后方可订货。</w:t>
            </w: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jc w:val="center"/>
              <w:rPr>
                <w:rFonts w:ascii="宋体" w:hAnsi="宋体"/>
                <w:szCs w:val="21"/>
              </w:rPr>
            </w:pPr>
            <w:r>
              <w:rPr>
                <w:rFonts w:hint="eastAsia" w:ascii="宋体" w:hAnsi="宋体"/>
                <w:szCs w:val="21"/>
              </w:rPr>
              <w:t>8</w:t>
            </w:r>
          </w:p>
        </w:tc>
        <w:tc>
          <w:tcPr>
            <w:tcW w:w="1441" w:type="dxa"/>
            <w:vAlign w:val="center"/>
          </w:tcPr>
          <w:p>
            <w:pPr>
              <w:spacing w:line="360" w:lineRule="auto"/>
              <w:rPr>
                <w:rFonts w:hAnsi="宋体"/>
                <w:bCs/>
                <w:szCs w:val="21"/>
              </w:rPr>
            </w:pPr>
            <w:r>
              <w:rPr>
                <w:rFonts w:hint="eastAsia" w:hAnsi="宋体"/>
                <w:bCs/>
                <w:szCs w:val="21"/>
              </w:rPr>
              <w:t>阻燃型硬质塑料管、PVC管</w:t>
            </w:r>
          </w:p>
        </w:tc>
        <w:tc>
          <w:tcPr>
            <w:tcW w:w="6225" w:type="dxa"/>
            <w:vAlign w:val="center"/>
          </w:tcPr>
          <w:p>
            <w:pPr>
              <w:spacing w:line="360" w:lineRule="auto"/>
              <w:ind w:right="22" w:firstLine="420" w:firstLineChars="200"/>
              <w:rPr>
                <w:rFonts w:ascii="宋体" w:hAnsi="宋体"/>
                <w:szCs w:val="21"/>
              </w:rPr>
            </w:pPr>
          </w:p>
          <w:p>
            <w:pPr>
              <w:spacing w:line="360" w:lineRule="auto"/>
              <w:ind w:right="22" w:firstLine="420" w:firstLineChars="200"/>
              <w:rPr>
                <w:rFonts w:ascii="宋体" w:hAnsi="宋体"/>
                <w:szCs w:val="21"/>
              </w:rPr>
            </w:pPr>
            <w:r>
              <w:rPr>
                <w:rFonts w:hint="eastAsia" w:ascii="宋体" w:hAnsi="宋体"/>
                <w:szCs w:val="21"/>
              </w:rPr>
              <w:t>1、生产厂家注册资金不少于1000万元。</w:t>
            </w:r>
          </w:p>
          <w:p>
            <w:pPr>
              <w:spacing w:line="360" w:lineRule="auto"/>
              <w:ind w:right="22" w:firstLine="420" w:firstLineChars="200"/>
              <w:rPr>
                <w:rFonts w:ascii="宋体" w:hAnsi="宋体"/>
                <w:szCs w:val="21"/>
              </w:rPr>
            </w:pPr>
            <w:r>
              <w:rPr>
                <w:rFonts w:hint="eastAsia" w:ascii="宋体" w:hAnsi="宋体"/>
                <w:szCs w:val="21"/>
              </w:rPr>
              <w:t>2、符合JB3050等国家标准。</w:t>
            </w:r>
          </w:p>
          <w:p>
            <w:pPr>
              <w:spacing w:line="360" w:lineRule="auto"/>
              <w:ind w:right="22" w:firstLine="420" w:firstLineChars="200"/>
              <w:rPr>
                <w:rFonts w:ascii="宋体" w:hAnsi="宋体"/>
                <w:szCs w:val="21"/>
              </w:rPr>
            </w:pPr>
            <w:r>
              <w:rPr>
                <w:rFonts w:hint="eastAsia" w:ascii="宋体" w:hAnsi="宋体"/>
                <w:szCs w:val="21"/>
              </w:rPr>
              <w:t>3、硬质塑料管的材质应具有阻燃、耐热、耐冲击的性能，含氧指数不应低于30%。</w:t>
            </w:r>
          </w:p>
          <w:p>
            <w:pPr>
              <w:spacing w:line="360" w:lineRule="auto"/>
              <w:ind w:right="22" w:firstLine="420" w:firstLineChars="200"/>
              <w:rPr>
                <w:rFonts w:ascii="宋体" w:hAnsi="宋体"/>
                <w:szCs w:val="21"/>
              </w:rPr>
            </w:pPr>
            <w:r>
              <w:rPr>
                <w:rFonts w:hint="eastAsia" w:ascii="宋体" w:hAnsi="宋体"/>
                <w:szCs w:val="21"/>
              </w:rPr>
              <w:t>4、塑料管应里外光滑，无凹凸、针孔、气泡。</w:t>
            </w:r>
          </w:p>
          <w:p>
            <w:pPr>
              <w:spacing w:line="360" w:lineRule="auto"/>
              <w:ind w:right="22" w:firstLine="420" w:firstLineChars="200"/>
              <w:rPr>
                <w:rFonts w:ascii="宋体" w:hAnsi="宋体"/>
                <w:szCs w:val="21"/>
              </w:rPr>
            </w:pPr>
            <w:r>
              <w:rPr>
                <w:rFonts w:hint="eastAsia" w:ascii="宋体" w:hAnsi="宋体"/>
                <w:szCs w:val="21"/>
              </w:rPr>
              <w:t>5、管内外径尺寸应符合国家现行技术标准，管壁厚均匀一致。</w:t>
            </w:r>
          </w:p>
          <w:p>
            <w:pPr>
              <w:spacing w:line="360" w:lineRule="auto"/>
              <w:ind w:right="22" w:firstLine="420" w:firstLineChars="200"/>
              <w:rPr>
                <w:rFonts w:ascii="宋体" w:hAnsi="宋体"/>
                <w:szCs w:val="21"/>
              </w:rPr>
            </w:pPr>
            <w:r>
              <w:rPr>
                <w:rFonts w:hint="eastAsia" w:ascii="宋体" w:hAnsi="宋体"/>
                <w:szCs w:val="21"/>
              </w:rPr>
              <w:t>6、所选用阻燃型塑料管件、配件及暗配塑料型制品，必须使用同一生产厂生产的、配套的阻然性塑料制品（接线盒、插座盒、端结合、开关盒、灯头盒、管箍等）。其所属配件、附件，均应外观整齐、开孔齐全，无劈裂、损坏等现象。</w:t>
            </w:r>
          </w:p>
          <w:p>
            <w:pPr>
              <w:spacing w:line="360" w:lineRule="auto"/>
              <w:ind w:right="22" w:firstLine="420" w:firstLineChars="200"/>
              <w:rPr>
                <w:rFonts w:ascii="宋体" w:hAnsi="宋体"/>
                <w:szCs w:val="21"/>
              </w:rPr>
            </w:pPr>
            <w:r>
              <w:rPr>
                <w:rFonts w:hint="eastAsia" w:ascii="宋体" w:hAnsi="宋体"/>
                <w:szCs w:val="21"/>
              </w:rPr>
              <w:t>7、胶粘剂须是与阻燃型硬质塑料管匹配的定型产品，胶粘剂必须在使用期限以内。</w:t>
            </w:r>
          </w:p>
          <w:p>
            <w:pPr>
              <w:spacing w:line="360" w:lineRule="auto"/>
              <w:ind w:right="22" w:firstLine="420" w:firstLineChars="200"/>
              <w:rPr>
                <w:rFonts w:ascii="宋体" w:hAnsi="宋体"/>
                <w:szCs w:val="21"/>
              </w:rPr>
            </w:pPr>
            <w:r>
              <w:rPr>
                <w:rFonts w:hint="eastAsia" w:ascii="宋体" w:hAnsi="宋体"/>
                <w:szCs w:val="21"/>
              </w:rPr>
              <w:t>8、材料订货前要求提供样品，报招标人、设计、监理确认后方可订货。</w:t>
            </w:r>
          </w:p>
          <w:p>
            <w:pPr>
              <w:spacing w:line="360" w:lineRule="auto"/>
              <w:ind w:right="22" w:firstLine="420" w:firstLineChars="200"/>
              <w:rPr>
                <w:rFonts w:ascii="宋体" w:hAnsi="宋体"/>
                <w:szCs w:val="21"/>
              </w:rPr>
            </w:pP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vAlign w:val="center"/>
          </w:tcPr>
          <w:p>
            <w:pPr>
              <w:spacing w:line="360" w:lineRule="auto"/>
              <w:jc w:val="center"/>
              <w:rPr>
                <w:rFonts w:ascii="宋体" w:hAnsi="宋体"/>
                <w:szCs w:val="21"/>
              </w:rPr>
            </w:pPr>
            <w:r>
              <w:rPr>
                <w:rFonts w:hint="eastAsia" w:ascii="宋体" w:hAnsi="宋体"/>
                <w:szCs w:val="21"/>
              </w:rPr>
              <w:t>9</w:t>
            </w:r>
          </w:p>
        </w:tc>
        <w:tc>
          <w:tcPr>
            <w:tcW w:w="1441" w:type="dxa"/>
            <w:vAlign w:val="center"/>
          </w:tcPr>
          <w:p>
            <w:pPr>
              <w:spacing w:line="360" w:lineRule="auto"/>
              <w:rPr>
                <w:rFonts w:hAnsi="宋体"/>
                <w:bCs/>
                <w:szCs w:val="21"/>
              </w:rPr>
            </w:pPr>
          </w:p>
          <w:p>
            <w:pPr>
              <w:spacing w:line="360" w:lineRule="auto"/>
              <w:rPr>
                <w:rFonts w:hAnsi="宋体"/>
                <w:bCs/>
                <w:szCs w:val="21"/>
              </w:rPr>
            </w:pPr>
            <w:r>
              <w:rPr>
                <w:rFonts w:hint="eastAsia" w:hAnsi="宋体"/>
                <w:bCs/>
                <w:szCs w:val="21"/>
              </w:rPr>
              <w:t>紧定式套接钢管</w:t>
            </w:r>
          </w:p>
        </w:tc>
        <w:tc>
          <w:tcPr>
            <w:tcW w:w="6225" w:type="dxa"/>
            <w:vAlign w:val="center"/>
          </w:tcPr>
          <w:p>
            <w:pPr>
              <w:spacing w:line="360" w:lineRule="auto"/>
              <w:ind w:right="22" w:firstLine="420" w:firstLineChars="200"/>
              <w:rPr>
                <w:rFonts w:ascii="宋体" w:hAnsi="宋体"/>
                <w:szCs w:val="21"/>
              </w:rPr>
            </w:pPr>
            <w:r>
              <w:rPr>
                <w:rFonts w:hint="eastAsia" w:ascii="宋体" w:hAnsi="宋体"/>
                <w:szCs w:val="21"/>
              </w:rPr>
              <w:t>1、生产厂家注册资金不少于1000万元。</w:t>
            </w:r>
          </w:p>
          <w:p>
            <w:pPr>
              <w:spacing w:line="360" w:lineRule="auto"/>
              <w:ind w:right="22" w:firstLine="420" w:firstLineChars="200"/>
              <w:rPr>
                <w:rFonts w:ascii="宋体" w:hAnsi="宋体"/>
                <w:szCs w:val="21"/>
              </w:rPr>
            </w:pPr>
            <w:r>
              <w:rPr>
                <w:rFonts w:hint="eastAsia" w:ascii="宋体" w:hAnsi="宋体"/>
                <w:szCs w:val="21"/>
              </w:rPr>
              <w:t>2、满足《</w:t>
            </w:r>
            <w:r>
              <w:rPr>
                <w:rFonts w:ascii="宋体" w:hAnsi="宋体"/>
                <w:szCs w:val="21"/>
              </w:rPr>
              <w:t>套接紧定式钢导管电线管路施工及验收规程</w:t>
            </w:r>
            <w:r>
              <w:rPr>
                <w:rFonts w:hint="eastAsia" w:ascii="宋体" w:hAnsi="宋体"/>
                <w:szCs w:val="21"/>
              </w:rPr>
              <w:t>CECS120:2007》。</w:t>
            </w:r>
          </w:p>
          <w:p>
            <w:pPr>
              <w:spacing w:line="360" w:lineRule="auto"/>
              <w:ind w:right="22" w:firstLine="420" w:firstLineChars="200"/>
              <w:rPr>
                <w:rFonts w:ascii="宋体" w:hAnsi="宋体"/>
                <w:szCs w:val="21"/>
              </w:rPr>
            </w:pPr>
            <w:r>
              <w:rPr>
                <w:rFonts w:hint="eastAsia" w:ascii="宋体" w:hAnsi="宋体"/>
                <w:szCs w:val="21"/>
              </w:rPr>
              <w:t>3、钢管的壁厚应均匀、一致，不应有折扁、裂缝、砂眼、塌陷等现象。</w:t>
            </w:r>
          </w:p>
          <w:p>
            <w:pPr>
              <w:spacing w:line="360" w:lineRule="auto"/>
              <w:ind w:right="22" w:firstLine="420" w:firstLineChars="200"/>
              <w:rPr>
                <w:rFonts w:ascii="宋体" w:hAnsi="宋体"/>
                <w:szCs w:val="21"/>
              </w:rPr>
            </w:pPr>
            <w:r>
              <w:rPr>
                <w:rFonts w:hint="eastAsia" w:ascii="宋体" w:hAnsi="宋体"/>
                <w:szCs w:val="21"/>
              </w:rPr>
              <w:t>4、内外表面应光滑，不应有折叠、裂缝、搭焊、缺焊、毛刺的现象。</w:t>
            </w:r>
          </w:p>
          <w:p>
            <w:pPr>
              <w:spacing w:line="360" w:lineRule="auto"/>
              <w:ind w:right="22" w:firstLine="420" w:firstLineChars="200"/>
              <w:rPr>
                <w:rFonts w:ascii="宋体" w:hAnsi="宋体"/>
                <w:szCs w:val="21"/>
              </w:rPr>
            </w:pPr>
            <w:r>
              <w:rPr>
                <w:rFonts w:hint="eastAsia" w:ascii="宋体" w:hAnsi="宋体"/>
                <w:szCs w:val="21"/>
              </w:rPr>
              <w:t>5、采用热浸镀锌，镀锌层应均匀一致、完好无损，不得有剥落、气泡的现象。</w:t>
            </w:r>
          </w:p>
          <w:p>
            <w:pPr>
              <w:spacing w:line="360" w:lineRule="auto"/>
              <w:ind w:right="22" w:firstLine="420" w:firstLineChars="200"/>
              <w:rPr>
                <w:rFonts w:ascii="宋体" w:hAnsi="宋体"/>
                <w:szCs w:val="21"/>
              </w:rPr>
            </w:pPr>
            <w:r>
              <w:rPr>
                <w:rFonts w:hint="eastAsia" w:ascii="宋体" w:hAnsi="宋体"/>
                <w:szCs w:val="21"/>
              </w:rPr>
              <w:t>6、采用国内大型钢铁厂产品，在钢管上必须有厂家名称、生产标准等标识。</w:t>
            </w:r>
          </w:p>
          <w:p>
            <w:pPr>
              <w:spacing w:line="360" w:lineRule="auto"/>
              <w:ind w:firstLine="420"/>
              <w:rPr>
                <w:rFonts w:ascii="宋体" w:hAnsi="宋体"/>
                <w:szCs w:val="21"/>
              </w:rPr>
            </w:pPr>
            <w:r>
              <w:rPr>
                <w:rFonts w:hint="eastAsia" w:ascii="宋体" w:hAnsi="宋体"/>
                <w:szCs w:val="21"/>
              </w:rPr>
              <w:t>7、紧顶管（JDG）的壁厚不小于设计及现行国家规范要求，且不低于1.6mm。</w:t>
            </w:r>
          </w:p>
          <w:p>
            <w:pPr>
              <w:spacing w:line="360" w:lineRule="auto"/>
              <w:ind w:right="22" w:firstLine="420" w:firstLineChars="200"/>
              <w:rPr>
                <w:rFonts w:ascii="宋体" w:hAnsi="宋体"/>
                <w:szCs w:val="21"/>
              </w:rPr>
            </w:pPr>
            <w:r>
              <w:rPr>
                <w:rFonts w:hint="eastAsia" w:ascii="宋体" w:hAnsi="宋体"/>
                <w:szCs w:val="21"/>
              </w:rPr>
              <w:t>8、所选用钢管及相应的接线盒、底盒、盖板必须使用同一生产厂生产的产品。其所属配件、附件，均应外观整齐、开孔齐全，无劈裂、无锈蚀、损坏等现象。</w:t>
            </w:r>
          </w:p>
          <w:p>
            <w:pPr>
              <w:spacing w:line="360" w:lineRule="auto"/>
              <w:ind w:right="22" w:firstLine="420" w:firstLineChars="200"/>
              <w:rPr>
                <w:rFonts w:ascii="宋体" w:hAnsi="宋体"/>
                <w:szCs w:val="21"/>
              </w:rPr>
            </w:pPr>
            <w:r>
              <w:rPr>
                <w:rFonts w:hint="eastAsia" w:ascii="宋体" w:hAnsi="宋体"/>
                <w:szCs w:val="21"/>
              </w:rPr>
              <w:t>9、材料订货前要求提供样品，报招标人、设计、监理确认后方可订货。</w:t>
            </w:r>
          </w:p>
        </w:tc>
        <w:tc>
          <w:tcPr>
            <w:tcW w:w="1070" w:type="dxa"/>
            <w:vAlign w:val="center"/>
          </w:tcPr>
          <w:p>
            <w:pPr>
              <w:spacing w:line="360" w:lineRule="auto"/>
              <w:ind w:firstLine="420"/>
              <w:rPr>
                <w:rFonts w:ascii="宋体" w:hAnsi="宋体"/>
                <w:szCs w:val="21"/>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Ex>
        <w:trPr>
          <w:trHeight w:val="400" w:hRule="atLeast"/>
        </w:trPr>
        <w:tc>
          <w:tcPr>
            <w:tcW w:w="721" w:type="dxa"/>
            <w:tcBorders>
              <w:top w:val="single" w:color="000000" w:sz="6" w:space="0"/>
              <w:left w:val="single" w:color="000000" w:sz="6" w:space="0"/>
              <w:bottom w:val="single" w:color="000000" w:sz="6" w:space="0"/>
              <w:right w:val="single" w:color="000000" w:sz="6" w:space="0"/>
            </w:tcBorders>
            <w:vAlign w:val="center"/>
          </w:tcPr>
          <w:p>
            <w:pPr>
              <w:spacing w:line="360" w:lineRule="auto"/>
              <w:jc w:val="center"/>
              <w:rPr>
                <w:rFonts w:ascii="宋体" w:hAnsi="宋体"/>
                <w:szCs w:val="21"/>
              </w:rPr>
            </w:pPr>
            <w:r>
              <w:rPr>
                <w:rFonts w:hint="eastAsia" w:ascii="宋体" w:hAnsi="宋体"/>
                <w:szCs w:val="21"/>
              </w:rPr>
              <w:t>10</w:t>
            </w:r>
          </w:p>
        </w:tc>
        <w:tc>
          <w:tcPr>
            <w:tcW w:w="1441" w:type="dxa"/>
            <w:tcBorders>
              <w:top w:val="single" w:color="000000" w:sz="6" w:space="0"/>
              <w:left w:val="single" w:color="000000" w:sz="6" w:space="0"/>
              <w:bottom w:val="single" w:color="000000" w:sz="6" w:space="0"/>
              <w:right w:val="single" w:color="000000" w:sz="6" w:space="0"/>
            </w:tcBorders>
            <w:vAlign w:val="center"/>
          </w:tcPr>
          <w:p>
            <w:pPr>
              <w:spacing w:line="360" w:lineRule="auto"/>
              <w:rPr>
                <w:rFonts w:hAnsi="宋体"/>
                <w:bCs/>
                <w:szCs w:val="21"/>
              </w:rPr>
            </w:pPr>
            <w:r>
              <w:rPr>
                <w:rFonts w:hint="eastAsia" w:ascii="宋体" w:cs="宋体"/>
                <w:bCs/>
                <w:kern w:val="0"/>
                <w:szCs w:val="21"/>
                <w:lang w:val="zh-CN"/>
              </w:rPr>
              <w:t>LED灯技术要求</w:t>
            </w:r>
          </w:p>
        </w:tc>
        <w:tc>
          <w:tcPr>
            <w:tcW w:w="6225" w:type="dxa"/>
            <w:tcBorders>
              <w:top w:val="single" w:color="000000" w:sz="6" w:space="0"/>
              <w:left w:val="single" w:color="000000" w:sz="6" w:space="0"/>
              <w:bottom w:val="single" w:color="000000" w:sz="6" w:space="0"/>
              <w:right w:val="single" w:color="000000" w:sz="6" w:space="0"/>
            </w:tcBorders>
            <w:vAlign w:val="center"/>
          </w:tcPr>
          <w:p>
            <w:pPr>
              <w:spacing w:line="360" w:lineRule="auto"/>
              <w:ind w:firstLine="420" w:firstLineChars="200"/>
              <w:rPr>
                <w:rFonts w:ascii="宋体" w:hAnsi="宋体"/>
                <w:snapToGrid w:val="0"/>
                <w:kern w:val="0"/>
              </w:rPr>
            </w:pPr>
            <w:r>
              <w:rPr>
                <w:rFonts w:hint="eastAsia" w:ascii="宋体" w:hAnsi="宋体"/>
                <w:snapToGrid w:val="0"/>
                <w:kern w:val="0"/>
              </w:rPr>
              <w:t>1、LED灯具散热设计必须为结构性散热，不得使用加装散热扇等主动散热方式。</w:t>
            </w:r>
          </w:p>
          <w:p>
            <w:pPr>
              <w:spacing w:line="360" w:lineRule="auto"/>
              <w:ind w:firstLine="420" w:firstLineChars="200"/>
              <w:rPr>
                <w:rFonts w:ascii="宋体" w:hAnsi="宋体"/>
                <w:snapToGrid w:val="0"/>
                <w:kern w:val="0"/>
              </w:rPr>
            </w:pPr>
            <w:r>
              <w:rPr>
                <w:rFonts w:hint="eastAsia" w:ascii="宋体" w:hAnsi="宋体"/>
                <w:snapToGrid w:val="0"/>
                <w:kern w:val="0"/>
              </w:rPr>
              <w:t>2、需提供LED芯片原厂出具的授权书和供货证明。</w:t>
            </w:r>
          </w:p>
          <w:p>
            <w:pPr>
              <w:spacing w:line="360" w:lineRule="auto"/>
              <w:ind w:firstLine="420" w:firstLineChars="200"/>
              <w:rPr>
                <w:rFonts w:ascii="宋体" w:hAnsi="宋体"/>
                <w:snapToGrid w:val="0"/>
                <w:kern w:val="0"/>
              </w:rPr>
            </w:pPr>
            <w:r>
              <w:rPr>
                <w:rFonts w:hint="eastAsia" w:ascii="宋体" w:hAnsi="宋体"/>
                <w:snapToGrid w:val="0"/>
                <w:kern w:val="0"/>
              </w:rPr>
              <w:t>3、LED应采用先进封装技术，不得采用直插引脚式封装。封装材料应具有高穿透率、高导热率、耐高温、耐日光辐射和抗潮湿，不得采用环氧树脂作为封装材料或透镜材料。LED应无铅、符合欧盟Rohs标准。</w:t>
            </w:r>
          </w:p>
          <w:p>
            <w:pPr>
              <w:spacing w:line="360" w:lineRule="auto"/>
              <w:ind w:firstLine="420" w:firstLineChars="200"/>
              <w:rPr>
                <w:rFonts w:ascii="宋体" w:hAnsi="宋体"/>
                <w:snapToGrid w:val="0"/>
                <w:kern w:val="0"/>
              </w:rPr>
            </w:pPr>
            <w:r>
              <w:rPr>
                <w:rFonts w:hint="eastAsia" w:ascii="宋体" w:hAnsi="宋体"/>
                <w:snapToGrid w:val="0"/>
                <w:kern w:val="0"/>
              </w:rPr>
              <w:t>4、灯具采用平面光源，透光面板采用PC（聚碳酸酯）或玻璃，必须达到离火自熄。</w:t>
            </w:r>
          </w:p>
          <w:p>
            <w:pPr>
              <w:spacing w:line="360" w:lineRule="auto"/>
              <w:ind w:firstLine="420" w:firstLineChars="200"/>
              <w:rPr>
                <w:rFonts w:ascii="宋体" w:hAnsi="宋体"/>
                <w:snapToGrid w:val="0"/>
                <w:kern w:val="0"/>
              </w:rPr>
            </w:pPr>
            <w:r>
              <w:rPr>
                <w:rFonts w:hint="eastAsia" w:ascii="宋体" w:hAnsi="宋体"/>
                <w:snapToGrid w:val="0"/>
                <w:kern w:val="0"/>
              </w:rPr>
              <w:t>5、LED的使用寿命（光通量降至初始的70%的燃点时间）不低于5万小时。点亮1000小时的光衰应不大于5%，点亮4000小时的光衰应不大于10%，点亮50000小时的色温偏移不大于30%。当环境温度为30℃、LED照明装置额定工况下且温升稳定后，LED芯片散热板表面温度不得高于60℃，LED芯片PN结温度不得高于100℃。</w:t>
            </w:r>
          </w:p>
          <w:p>
            <w:pPr>
              <w:spacing w:line="360" w:lineRule="auto"/>
              <w:ind w:firstLine="420" w:firstLineChars="200"/>
              <w:rPr>
                <w:rFonts w:ascii="宋体" w:hAnsi="宋体"/>
                <w:snapToGrid w:val="0"/>
                <w:kern w:val="0"/>
              </w:rPr>
            </w:pPr>
            <w:r>
              <w:rPr>
                <w:rFonts w:hint="eastAsia" w:ascii="宋体" w:hAnsi="宋体"/>
                <w:snapToGrid w:val="0"/>
                <w:kern w:val="0"/>
              </w:rPr>
              <w:t>6、所有LED灯具应采用同一品牌的LED。</w:t>
            </w:r>
          </w:p>
          <w:p>
            <w:pPr>
              <w:spacing w:line="360" w:lineRule="auto"/>
              <w:ind w:firstLine="420" w:firstLineChars="200"/>
              <w:rPr>
                <w:rFonts w:ascii="宋体" w:hAnsi="宋体"/>
                <w:snapToGrid w:val="0"/>
                <w:kern w:val="0"/>
              </w:rPr>
            </w:pPr>
            <w:r>
              <w:rPr>
                <w:rFonts w:hint="eastAsia" w:ascii="宋体" w:hAnsi="宋体"/>
                <w:snapToGrid w:val="0"/>
                <w:kern w:val="0"/>
              </w:rPr>
              <w:t>7、驱动电源：适合180V～240V的交流电源，输出直流电压与LED负载相匹配，并为LED提供恒定直流电流驱动。基本要求如下：能输出恒定电流，使各个LED的电流相匹配，以保持各个LED的亮度均匀一致；功率转换效率达85%以上；LED的最大电流可以设定；具有短路、过负荷、过压、输出开路保护、输入输出隔离、熔丝保护功能；经久耐用，不低于3年的使用寿命，无内置风扇；采用工业等级的高质量元件，电容等元件的使用寿命不低于5年；对其它电路的干扰小；功率因数&gt;0.9，总谐波失真&lt;10% ；具有如CE、UL、CQC的产品认证；提供驱动电源配置优化方案。</w:t>
            </w:r>
          </w:p>
          <w:p>
            <w:pPr>
              <w:spacing w:line="360" w:lineRule="auto"/>
              <w:ind w:firstLine="420" w:firstLineChars="200"/>
              <w:rPr>
                <w:rFonts w:ascii="宋体" w:hAnsi="宋体"/>
                <w:snapToGrid w:val="0"/>
                <w:kern w:val="0"/>
              </w:rPr>
            </w:pPr>
            <w:r>
              <w:rPr>
                <w:rFonts w:hint="eastAsia" w:ascii="宋体" w:hAnsi="宋体"/>
                <w:snapToGrid w:val="0"/>
                <w:kern w:val="0"/>
              </w:rPr>
              <w:t>8、灯具内导线规格应与负载相匹配并适应短时冲击电流。</w:t>
            </w:r>
          </w:p>
          <w:p>
            <w:pPr>
              <w:spacing w:line="360" w:lineRule="auto"/>
              <w:ind w:firstLine="420" w:firstLineChars="200"/>
              <w:rPr>
                <w:rFonts w:ascii="宋体" w:hAnsi="宋体"/>
                <w:snapToGrid w:val="0"/>
                <w:kern w:val="0"/>
              </w:rPr>
            </w:pPr>
            <w:r>
              <w:rPr>
                <w:rFonts w:hint="eastAsia" w:ascii="宋体" w:hAnsi="宋体"/>
                <w:snapToGrid w:val="0"/>
                <w:kern w:val="0"/>
              </w:rPr>
              <w:t>9、灯具应耐潮、耐腐蚀、防静电吸尘，电子元器件均为工业使用等级类，所有金属构件、配件均按照相关规定进行防锈、防腐蚀、防火处理。</w:t>
            </w:r>
          </w:p>
          <w:p>
            <w:pPr>
              <w:spacing w:line="360" w:lineRule="auto"/>
              <w:ind w:firstLine="420" w:firstLineChars="200"/>
              <w:rPr>
                <w:rFonts w:ascii="宋体" w:hAnsi="宋体"/>
                <w:snapToGrid w:val="0"/>
                <w:kern w:val="0"/>
              </w:rPr>
            </w:pPr>
            <w:r>
              <w:rPr>
                <w:rFonts w:hint="eastAsia" w:ascii="宋体" w:hAnsi="宋体"/>
                <w:snapToGrid w:val="0"/>
                <w:kern w:val="0"/>
              </w:rPr>
              <w:t>10、防护等级不低于IP41。</w:t>
            </w:r>
          </w:p>
          <w:p>
            <w:pPr>
              <w:pStyle w:val="21"/>
              <w:spacing w:line="360" w:lineRule="auto"/>
              <w:ind w:firstLine="420"/>
              <w:rPr>
                <w:rFonts w:hAnsi="宋体"/>
              </w:rPr>
            </w:pPr>
            <w:r>
              <w:rPr>
                <w:rFonts w:hint="eastAsia" w:hAnsi="宋体"/>
                <w:snapToGrid w:val="0"/>
              </w:rPr>
              <w:t>11、灯具有国家电光源检测中心（北京或上海）出具的检测报告。</w:t>
            </w:r>
          </w:p>
        </w:tc>
        <w:tc>
          <w:tcPr>
            <w:tcW w:w="1070" w:type="dxa"/>
            <w:tcBorders>
              <w:top w:val="single" w:color="000000" w:sz="6" w:space="0"/>
              <w:left w:val="single" w:color="000000" w:sz="6" w:space="0"/>
              <w:bottom w:val="single" w:color="000000" w:sz="6" w:space="0"/>
              <w:right w:val="single" w:color="000000" w:sz="6" w:space="0"/>
            </w:tcBorders>
            <w:vAlign w:val="center"/>
          </w:tcPr>
          <w:p>
            <w:pPr>
              <w:spacing w:line="360" w:lineRule="auto"/>
              <w:ind w:firstLine="420"/>
              <w:rPr>
                <w:rFonts w:ascii="宋体" w:hAnsi="宋体"/>
                <w:szCs w:val="21"/>
              </w:rPr>
            </w:pPr>
          </w:p>
        </w:tc>
      </w:tr>
    </w:tbl>
    <w:p>
      <w:pPr>
        <w:spacing w:line="360" w:lineRule="auto"/>
        <w:rPr>
          <w:rFonts w:ascii="宋体" w:hAnsi="宋体"/>
          <w:szCs w:val="21"/>
        </w:rPr>
      </w:pPr>
    </w:p>
    <w:p>
      <w:pPr>
        <w:spacing w:line="360" w:lineRule="auto"/>
        <w:ind w:firstLine="420"/>
        <w:rPr>
          <w:rFonts w:ascii="宋体" w:hAnsi="宋体"/>
          <w:szCs w:val="21"/>
        </w:rPr>
      </w:pPr>
      <w:r>
        <w:rPr>
          <w:rFonts w:hint="eastAsia" w:ascii="宋体" w:hAnsi="宋体"/>
          <w:szCs w:val="21"/>
        </w:rPr>
        <w:t>说明：</w:t>
      </w:r>
    </w:p>
    <w:p>
      <w:pPr>
        <w:spacing w:line="360" w:lineRule="auto"/>
        <w:ind w:firstLine="420"/>
        <w:rPr>
          <w:rFonts w:ascii="宋体" w:hAnsi="宋体"/>
          <w:szCs w:val="21"/>
        </w:rPr>
      </w:pPr>
      <w:r>
        <w:rPr>
          <w:rFonts w:hint="eastAsia" w:ascii="宋体" w:hAnsi="宋体"/>
          <w:szCs w:val="21"/>
        </w:rPr>
        <w:t>一、投标人设备进场时应提供的文件：</w:t>
      </w:r>
    </w:p>
    <w:p>
      <w:pPr>
        <w:spacing w:line="360" w:lineRule="auto"/>
        <w:ind w:firstLine="420"/>
        <w:rPr>
          <w:rFonts w:ascii="宋体" w:hAnsi="宋体"/>
          <w:szCs w:val="21"/>
        </w:rPr>
      </w:pPr>
      <w:r>
        <w:rPr>
          <w:rFonts w:hint="eastAsia" w:ascii="宋体" w:hAnsi="宋体"/>
          <w:szCs w:val="21"/>
        </w:rPr>
        <w:t>1、投标人所提供的技术文件应为中文，并应使用IEC和GB所规定的标准符号和术语。</w:t>
      </w:r>
    </w:p>
    <w:p>
      <w:pPr>
        <w:spacing w:line="360" w:lineRule="auto"/>
        <w:ind w:firstLine="420"/>
        <w:rPr>
          <w:rFonts w:ascii="宋体" w:hAnsi="宋体"/>
          <w:szCs w:val="21"/>
        </w:rPr>
      </w:pPr>
      <w:r>
        <w:rPr>
          <w:rFonts w:hint="eastAsia" w:ascii="宋体" w:hAnsi="宋体"/>
          <w:szCs w:val="21"/>
        </w:rPr>
        <w:t>2、投标人至少应提供以下文件：</w:t>
      </w:r>
    </w:p>
    <w:p>
      <w:pPr>
        <w:spacing w:line="360" w:lineRule="auto"/>
        <w:ind w:firstLine="420"/>
        <w:rPr>
          <w:rFonts w:ascii="宋体" w:hAnsi="宋体"/>
          <w:szCs w:val="21"/>
        </w:rPr>
      </w:pPr>
      <w:r>
        <w:rPr>
          <w:rFonts w:hint="eastAsia" w:ascii="宋体" w:hAnsi="宋体"/>
          <w:szCs w:val="21"/>
        </w:rPr>
        <w:t>设备的主要特点介绍及有关的电气图纸、型式试验报告；</w:t>
      </w:r>
    </w:p>
    <w:p>
      <w:pPr>
        <w:spacing w:line="360" w:lineRule="auto"/>
        <w:ind w:firstLine="420"/>
        <w:rPr>
          <w:rFonts w:ascii="宋体" w:hAnsi="宋体"/>
          <w:szCs w:val="21"/>
        </w:rPr>
      </w:pPr>
      <w:r>
        <w:rPr>
          <w:rFonts w:hint="eastAsia" w:ascii="宋体" w:hAnsi="宋体"/>
          <w:szCs w:val="21"/>
        </w:rPr>
        <w:t>产品鉴定证书及国家认可的型号证书；</w:t>
      </w:r>
    </w:p>
    <w:p>
      <w:pPr>
        <w:spacing w:line="360" w:lineRule="auto"/>
        <w:ind w:firstLine="420"/>
        <w:rPr>
          <w:rFonts w:ascii="宋体" w:hAnsi="宋体"/>
          <w:szCs w:val="21"/>
        </w:rPr>
      </w:pPr>
      <w:r>
        <w:rPr>
          <w:rFonts w:hint="eastAsia" w:ascii="宋体" w:hAnsi="宋体"/>
          <w:szCs w:val="21"/>
        </w:rPr>
        <w:t>设备主要材料清单及相关技术资料/介绍；</w:t>
      </w:r>
    </w:p>
    <w:p>
      <w:pPr>
        <w:spacing w:line="360" w:lineRule="auto"/>
        <w:ind w:firstLine="420"/>
        <w:rPr>
          <w:rFonts w:ascii="宋体" w:hAnsi="宋体"/>
          <w:szCs w:val="21"/>
        </w:rPr>
      </w:pPr>
      <w:r>
        <w:rPr>
          <w:rFonts w:hint="eastAsia" w:ascii="宋体" w:hAnsi="宋体"/>
          <w:szCs w:val="21"/>
        </w:rPr>
        <w:t>配套设备的相关技术资料、介绍及制造厂家介绍；</w:t>
      </w:r>
    </w:p>
    <w:p>
      <w:pPr>
        <w:spacing w:line="360" w:lineRule="auto"/>
        <w:ind w:firstLine="420"/>
        <w:rPr>
          <w:rFonts w:ascii="宋体" w:hAnsi="宋体"/>
          <w:szCs w:val="21"/>
        </w:rPr>
      </w:pPr>
      <w:r>
        <w:rPr>
          <w:rFonts w:hint="eastAsia" w:ascii="宋体" w:hAnsi="宋体"/>
          <w:szCs w:val="21"/>
        </w:rPr>
        <w:t>设备的产品介绍及安装、操作指南</w:t>
      </w:r>
    </w:p>
    <w:p>
      <w:pPr>
        <w:spacing w:line="360" w:lineRule="auto"/>
        <w:ind w:firstLine="420"/>
        <w:rPr>
          <w:rFonts w:ascii="宋体" w:hAnsi="宋体"/>
          <w:szCs w:val="21"/>
        </w:rPr>
      </w:pPr>
      <w:r>
        <w:rPr>
          <w:rFonts w:hint="eastAsia" w:ascii="宋体" w:hAnsi="宋体"/>
          <w:szCs w:val="21"/>
        </w:rPr>
        <w:t>主要元器件、材料的制造厂家/产地及相关技术资料</w:t>
      </w:r>
    </w:p>
    <w:p>
      <w:pPr>
        <w:spacing w:line="360" w:lineRule="auto"/>
        <w:ind w:firstLine="420"/>
        <w:rPr>
          <w:rFonts w:ascii="宋体" w:hAnsi="宋体"/>
          <w:szCs w:val="21"/>
        </w:rPr>
      </w:pPr>
      <w:r>
        <w:rPr>
          <w:rFonts w:hint="eastAsia" w:ascii="宋体" w:hAnsi="宋体"/>
          <w:szCs w:val="21"/>
        </w:rPr>
        <w:t>3、投标人中标后供货时须提供以下文件：</w:t>
      </w:r>
    </w:p>
    <w:p>
      <w:pPr>
        <w:spacing w:line="360" w:lineRule="auto"/>
        <w:ind w:firstLine="420"/>
        <w:rPr>
          <w:rFonts w:ascii="宋体" w:hAnsi="宋体"/>
          <w:szCs w:val="21"/>
        </w:rPr>
      </w:pPr>
      <w:r>
        <w:rPr>
          <w:rFonts w:hint="eastAsia" w:ascii="宋体" w:hAnsi="宋体"/>
          <w:szCs w:val="21"/>
        </w:rPr>
        <w:t>（1）装箱清单</w:t>
      </w:r>
    </w:p>
    <w:p>
      <w:pPr>
        <w:spacing w:line="360" w:lineRule="auto"/>
        <w:ind w:firstLine="420"/>
        <w:rPr>
          <w:rFonts w:ascii="宋体" w:hAnsi="宋体"/>
          <w:szCs w:val="21"/>
        </w:rPr>
      </w:pPr>
      <w:r>
        <w:rPr>
          <w:rFonts w:hint="eastAsia" w:ascii="宋体" w:hAnsi="宋体"/>
          <w:szCs w:val="21"/>
        </w:rPr>
        <w:t>（2）设备合格证</w:t>
      </w:r>
    </w:p>
    <w:p>
      <w:pPr>
        <w:spacing w:line="360" w:lineRule="auto"/>
        <w:ind w:firstLine="420"/>
        <w:rPr>
          <w:rFonts w:ascii="宋体" w:hAnsi="宋体"/>
          <w:szCs w:val="21"/>
        </w:rPr>
      </w:pPr>
      <w:r>
        <w:rPr>
          <w:rFonts w:hint="eastAsia" w:ascii="宋体" w:hAnsi="宋体"/>
          <w:szCs w:val="21"/>
        </w:rPr>
        <w:t>（3）设备使用说明书</w:t>
      </w:r>
    </w:p>
    <w:p>
      <w:pPr>
        <w:spacing w:line="360" w:lineRule="auto"/>
        <w:ind w:firstLine="420"/>
        <w:rPr>
          <w:rFonts w:ascii="宋体" w:hAnsi="宋体"/>
          <w:szCs w:val="21"/>
        </w:rPr>
      </w:pPr>
      <w:r>
        <w:rPr>
          <w:rFonts w:hint="eastAsia" w:ascii="宋体" w:hAnsi="宋体"/>
          <w:szCs w:val="21"/>
        </w:rPr>
        <w:t>（4）出厂试验报告</w:t>
      </w:r>
    </w:p>
    <w:p>
      <w:pPr>
        <w:spacing w:line="360" w:lineRule="auto"/>
        <w:ind w:firstLine="420"/>
        <w:rPr>
          <w:rFonts w:ascii="宋体" w:hAnsi="宋体"/>
          <w:szCs w:val="21"/>
        </w:rPr>
      </w:pPr>
      <w:r>
        <w:rPr>
          <w:rFonts w:hint="eastAsia" w:ascii="宋体" w:hAnsi="宋体"/>
          <w:szCs w:val="21"/>
        </w:rPr>
        <w:t>（5）有关电气图纸</w:t>
      </w:r>
    </w:p>
    <w:p>
      <w:pPr>
        <w:spacing w:line="360" w:lineRule="auto"/>
        <w:ind w:firstLine="420"/>
        <w:rPr>
          <w:rFonts w:ascii="宋体" w:hAnsi="宋体"/>
          <w:szCs w:val="21"/>
        </w:rPr>
      </w:pPr>
      <w:r>
        <w:rPr>
          <w:rFonts w:hint="eastAsia" w:ascii="宋体" w:hAnsi="宋体"/>
          <w:szCs w:val="21"/>
        </w:rPr>
        <w:t>（6）柜门钥匙、操作手柄及合同规定的备品配件</w:t>
      </w:r>
    </w:p>
    <w:p>
      <w:pPr>
        <w:spacing w:line="360" w:lineRule="auto"/>
        <w:ind w:firstLine="420"/>
        <w:rPr>
          <w:rFonts w:ascii="宋体" w:hAnsi="宋体"/>
          <w:szCs w:val="21"/>
        </w:rPr>
      </w:pPr>
      <w:r>
        <w:rPr>
          <w:rFonts w:hint="eastAsia" w:ascii="宋体" w:hAnsi="宋体"/>
          <w:szCs w:val="21"/>
        </w:rPr>
        <w:t>（7）主要元器件的出厂合格证</w:t>
      </w:r>
    </w:p>
    <w:p>
      <w:pPr>
        <w:spacing w:line="360" w:lineRule="auto"/>
        <w:ind w:firstLine="420" w:firstLineChars="200"/>
        <w:rPr>
          <w:rFonts w:ascii="宋体" w:hAnsi="宋体"/>
          <w:szCs w:val="21"/>
        </w:rPr>
      </w:pPr>
      <w:r>
        <w:rPr>
          <w:rFonts w:hint="eastAsia" w:ascii="宋体" w:hAnsi="宋体"/>
          <w:szCs w:val="21"/>
        </w:rPr>
        <w:t>（8）主要元器件的安装使用说明</w:t>
      </w:r>
    </w:p>
    <w:p>
      <w:pPr>
        <w:spacing w:line="360" w:lineRule="auto"/>
        <w:ind w:firstLine="3092" w:firstLineChars="700"/>
        <w:rPr>
          <w:b/>
          <w:sz w:val="44"/>
          <w:szCs w:val="44"/>
        </w:rPr>
      </w:pPr>
    </w:p>
    <w:p>
      <w:pPr>
        <w:spacing w:line="360" w:lineRule="auto"/>
        <w:rPr>
          <w:rFonts w:ascii="宋体" w:hAnsi="宋体"/>
          <w:b/>
          <w:bCs/>
          <w:sz w:val="36"/>
          <w:szCs w:val="36"/>
        </w:rPr>
      </w:pPr>
    </w:p>
    <w:p>
      <w:pPr>
        <w:spacing w:line="360" w:lineRule="auto"/>
        <w:jc w:val="center"/>
        <w:rPr>
          <w:rFonts w:ascii="宋体" w:hAnsi="宋体"/>
          <w:b/>
          <w:bCs/>
          <w:sz w:val="48"/>
          <w:szCs w:val="48"/>
        </w:rPr>
      </w:pPr>
      <w:bookmarkStart w:id="8" w:name="_Hlk2848344"/>
      <w:r>
        <w:rPr>
          <w:rFonts w:hint="eastAsia" w:ascii="宋体" w:hAnsi="宋体"/>
          <w:b/>
          <w:bCs/>
          <w:sz w:val="48"/>
          <w:szCs w:val="48"/>
        </w:rPr>
        <w:t xml:space="preserve">第四部分 </w:t>
      </w:r>
      <w:r>
        <w:rPr>
          <w:rFonts w:ascii="宋体" w:hAnsi="宋体"/>
          <w:b/>
          <w:bCs/>
          <w:sz w:val="48"/>
          <w:szCs w:val="48"/>
        </w:rPr>
        <w:t xml:space="preserve"> </w:t>
      </w:r>
      <w:r>
        <w:rPr>
          <w:rFonts w:hint="eastAsia" w:ascii="宋体" w:hAnsi="宋体"/>
          <w:b/>
          <w:bCs/>
          <w:sz w:val="48"/>
          <w:szCs w:val="48"/>
        </w:rPr>
        <w:t>通风与空调工程技术要求</w:t>
      </w:r>
    </w:p>
    <w:bookmarkEnd w:id="8"/>
    <w:p>
      <w:pPr>
        <w:widowControl/>
        <w:spacing w:line="360" w:lineRule="auto"/>
        <w:jc w:val="center"/>
        <w:rPr>
          <w:b/>
          <w:sz w:val="28"/>
          <w:szCs w:val="28"/>
        </w:rPr>
      </w:pPr>
      <w:r>
        <w:rPr>
          <w:rFonts w:hint="eastAsia" w:ascii="Arial" w:hAnsi="黑体" w:eastAsia="黑体" w:cs="Arial"/>
          <w:sz w:val="36"/>
          <w:szCs w:val="36"/>
        </w:rPr>
        <w:t>第一章  概况</w:t>
      </w:r>
    </w:p>
    <w:p>
      <w:pPr>
        <w:shd w:val="clear" w:color="auto" w:fill="FFFFFF"/>
        <w:snapToGrid w:val="0"/>
        <w:spacing w:line="300" w:lineRule="auto"/>
        <w:jc w:val="center"/>
        <w:rPr>
          <w:rFonts w:ascii="宋体" w:hAnsi="宋体"/>
          <w:szCs w:val="21"/>
        </w:rPr>
      </w:pPr>
      <w:r>
        <w:rPr>
          <w:rFonts w:hint="eastAsia" w:ascii="宋体" w:hAnsi="宋体"/>
          <w:szCs w:val="21"/>
        </w:rPr>
        <w:t> </w:t>
      </w:r>
    </w:p>
    <w:p>
      <w:pPr>
        <w:spacing w:line="360" w:lineRule="auto"/>
        <w:ind w:firstLine="420" w:firstLineChars="200"/>
        <w:rPr>
          <w:rFonts w:ascii="宋体" w:hAnsi="宋体"/>
          <w:szCs w:val="21"/>
        </w:rPr>
      </w:pPr>
      <w:r>
        <w:rPr>
          <w:rFonts w:hint="eastAsia" w:ascii="宋体" w:hAnsi="宋体"/>
          <w:szCs w:val="21"/>
        </w:rPr>
        <w:t>有关通风与空调系统装置的供应、安装、调试及维修等技术要求，均在本技术要求及有关招标图纸内详细说明，其提供了工程建造至完工的各项细则。为能妥善完成各项工程事项，承包商须按要求提供一切所需的施工及监督人员、材料、工具、设备、储存、各有效的证件、图纸、临时设施、工地安全、监察、调试等事项。</w:t>
      </w:r>
    </w:p>
    <w:p>
      <w:pPr>
        <w:keepNext/>
        <w:keepLines/>
        <w:shd w:val="clear" w:color="auto" w:fill="FFFFFF"/>
        <w:snapToGrid w:val="0"/>
        <w:spacing w:before="260" w:after="260" w:line="415" w:lineRule="auto"/>
        <w:ind w:firstLine="2988" w:firstLineChars="930"/>
        <w:outlineLvl w:val="1"/>
        <w:rPr>
          <w:rFonts w:ascii="Arial" w:hAnsi="Arial" w:eastAsia="黑体" w:cs="Arial"/>
          <w:b/>
          <w:sz w:val="32"/>
          <w:szCs w:val="32"/>
        </w:rPr>
      </w:pPr>
      <w:r>
        <w:rPr>
          <w:rFonts w:hint="eastAsia" w:ascii="Arial" w:hAnsi="黑体" w:eastAsia="黑体" w:cs="Arial"/>
          <w:b/>
          <w:sz w:val="32"/>
          <w:szCs w:val="32"/>
        </w:rPr>
        <w:t>第一节  简介</w:t>
      </w:r>
    </w:p>
    <w:p>
      <w:pPr>
        <w:spacing w:line="360" w:lineRule="auto"/>
        <w:outlineLvl w:val="2"/>
        <w:rPr>
          <w:rFonts w:ascii="宋体" w:hAnsi="宋体"/>
          <w:sz w:val="20"/>
          <w:szCs w:val="20"/>
        </w:rPr>
      </w:pPr>
      <w:r>
        <w:rPr>
          <w:rFonts w:hint="eastAsia" w:ascii="宋体" w:hAnsi="宋体"/>
          <w:sz w:val="20"/>
          <w:szCs w:val="20"/>
        </w:rPr>
        <w:t>一、通风与空调工程材料、设备通用要求</w:t>
      </w:r>
    </w:p>
    <w:p>
      <w:pPr>
        <w:spacing w:line="360" w:lineRule="auto"/>
        <w:ind w:firstLine="400" w:firstLineChars="200"/>
        <w:rPr>
          <w:rFonts w:ascii="宋体" w:hAnsi="宋体"/>
          <w:sz w:val="20"/>
          <w:szCs w:val="20"/>
        </w:rPr>
      </w:pPr>
      <w:r>
        <w:rPr>
          <w:rFonts w:hint="eastAsia" w:ascii="宋体" w:hAnsi="宋体"/>
          <w:sz w:val="20"/>
          <w:szCs w:val="20"/>
        </w:rPr>
        <w:t>1、选用产品必须符合国家、地方相关标准规范及设计图纸要求；</w:t>
      </w:r>
    </w:p>
    <w:p>
      <w:pPr>
        <w:spacing w:line="360" w:lineRule="auto"/>
        <w:ind w:firstLine="400" w:firstLineChars="200"/>
        <w:rPr>
          <w:rFonts w:ascii="宋体" w:hAnsi="宋体"/>
          <w:sz w:val="20"/>
          <w:szCs w:val="20"/>
        </w:rPr>
      </w:pPr>
      <w:r>
        <w:rPr>
          <w:rFonts w:hint="eastAsia" w:ascii="宋体" w:hAnsi="宋体"/>
          <w:sz w:val="20"/>
          <w:szCs w:val="20"/>
        </w:rPr>
        <w:t>2、设备进场前需提供针对本项目的供货证明或授权书及保证售后服务、保证产品质量的承诺函。</w:t>
      </w:r>
    </w:p>
    <w:p>
      <w:pPr>
        <w:spacing w:line="360" w:lineRule="auto"/>
        <w:ind w:firstLine="400" w:firstLineChars="200"/>
        <w:outlineLvl w:val="2"/>
        <w:rPr>
          <w:rFonts w:ascii="宋体" w:hAnsi="宋体"/>
          <w:sz w:val="20"/>
          <w:szCs w:val="20"/>
        </w:rPr>
      </w:pPr>
      <w:r>
        <w:rPr>
          <w:rFonts w:hint="eastAsia" w:ascii="宋体" w:hAnsi="宋体"/>
          <w:sz w:val="20"/>
          <w:szCs w:val="20"/>
        </w:rPr>
        <w:t>二、通风与空调工程材料、设备明细表</w:t>
      </w:r>
    </w:p>
    <w:p>
      <w:pPr>
        <w:spacing w:line="300" w:lineRule="auto"/>
        <w:ind w:firstLine="422"/>
        <w:outlineLvl w:val="0"/>
        <w:rPr>
          <w:rFonts w:ascii="宋体" w:hAnsi="宋体"/>
          <w:b/>
          <w:szCs w:val="21"/>
        </w:rPr>
      </w:pPr>
      <w:r>
        <w:rPr>
          <w:rFonts w:hint="eastAsia" w:ascii="宋体" w:hAnsi="宋体"/>
          <w:b/>
          <w:szCs w:val="21"/>
        </w:rPr>
        <w:t>通风与空调工程材料、设备明细表</w:t>
      </w:r>
    </w:p>
    <w:tbl>
      <w:tblPr>
        <w:tblStyle w:val="43"/>
        <w:tblW w:w="852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46"/>
        <w:gridCol w:w="5990"/>
        <w:gridCol w:w="16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产品名称</w:t>
            </w:r>
          </w:p>
        </w:tc>
        <w:tc>
          <w:tcPr>
            <w:tcW w:w="5990" w:type="dxa"/>
          </w:tcPr>
          <w:p>
            <w:pPr>
              <w:spacing w:line="300" w:lineRule="auto"/>
              <w:rPr>
                <w:rFonts w:ascii="宋体" w:hAnsi="宋体"/>
                <w:szCs w:val="21"/>
              </w:rPr>
            </w:pPr>
            <w:r>
              <w:rPr>
                <w:rFonts w:hint="eastAsia" w:ascii="宋体" w:hAnsi="宋体"/>
                <w:szCs w:val="21"/>
              </w:rPr>
              <w:t>产品技术要求</w:t>
            </w:r>
          </w:p>
        </w:tc>
        <w:tc>
          <w:tcPr>
            <w:tcW w:w="1686" w:type="dxa"/>
          </w:tcPr>
          <w:p>
            <w:pPr>
              <w:spacing w:line="300" w:lineRule="auto"/>
              <w:rPr>
                <w:rFonts w:ascii="宋体" w:hAnsi="宋体"/>
                <w:szCs w:val="21"/>
              </w:rPr>
            </w:pPr>
            <w:r>
              <w:rPr>
                <w:rFonts w:hint="eastAsia" w:ascii="宋体" w:hAnsi="宋体"/>
                <w:szCs w:val="21"/>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1、风机</w:t>
            </w:r>
          </w:p>
          <w:p>
            <w:pPr>
              <w:spacing w:line="300" w:lineRule="auto"/>
              <w:rPr>
                <w:rFonts w:ascii="宋体" w:hAnsi="宋体"/>
                <w:szCs w:val="21"/>
              </w:rPr>
            </w:pPr>
            <w:r>
              <w:rPr>
                <w:rFonts w:hint="eastAsia" w:ascii="宋体" w:hAnsi="宋体"/>
                <w:szCs w:val="21"/>
              </w:rPr>
              <w:t>低噪音风机箱</w:t>
            </w:r>
          </w:p>
          <w:p>
            <w:pPr>
              <w:spacing w:line="300" w:lineRule="auto"/>
              <w:rPr>
                <w:rFonts w:ascii="宋体" w:hAnsi="宋体"/>
                <w:szCs w:val="21"/>
              </w:rPr>
            </w:pPr>
            <w:r>
              <w:rPr>
                <w:rFonts w:hint="eastAsia" w:ascii="宋体" w:hAnsi="宋体"/>
                <w:szCs w:val="21"/>
              </w:rPr>
              <w:t>低噪音排烟风机箱</w:t>
            </w:r>
          </w:p>
          <w:p>
            <w:pPr>
              <w:spacing w:line="300" w:lineRule="auto"/>
              <w:rPr>
                <w:rFonts w:ascii="宋体" w:hAnsi="宋体"/>
                <w:szCs w:val="21"/>
              </w:rPr>
            </w:pPr>
            <w:r>
              <w:rPr>
                <w:rFonts w:hint="eastAsia" w:ascii="宋体" w:hAnsi="宋体"/>
                <w:szCs w:val="21"/>
              </w:rPr>
              <w:t>轴流风机</w:t>
            </w:r>
          </w:p>
          <w:p>
            <w:pPr>
              <w:spacing w:line="300" w:lineRule="auto"/>
              <w:rPr>
                <w:rFonts w:ascii="宋体" w:hAnsi="宋体"/>
                <w:szCs w:val="21"/>
              </w:rPr>
            </w:pPr>
            <w:r>
              <w:rPr>
                <w:rFonts w:hint="eastAsia" w:ascii="宋体" w:hAnsi="宋体"/>
                <w:szCs w:val="21"/>
              </w:rPr>
              <w:t>低噪音混流风机</w:t>
            </w:r>
          </w:p>
          <w:p>
            <w:pPr>
              <w:spacing w:line="300" w:lineRule="auto"/>
              <w:rPr>
                <w:rFonts w:ascii="宋体" w:hAnsi="宋体"/>
                <w:szCs w:val="21"/>
              </w:rPr>
            </w:pPr>
            <w:r>
              <w:rPr>
                <w:rFonts w:hint="eastAsia" w:ascii="宋体" w:hAnsi="宋体"/>
                <w:szCs w:val="21"/>
              </w:rPr>
              <w:t>轴流高温排烟风机</w:t>
            </w: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1、注册资本不得少于1000万人民币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 xml:space="preserve"> 1.采用合资进口产品，并提供产品的国家级检测部门检测报告,风机应具有AMCA 认证或采用与其标准接近的其它先进工业国家的标准生产；</w:t>
            </w:r>
          </w:p>
          <w:p>
            <w:pPr>
              <w:spacing w:line="300" w:lineRule="auto"/>
              <w:rPr>
                <w:rFonts w:ascii="宋体" w:hAnsi="宋体"/>
                <w:szCs w:val="21"/>
              </w:rPr>
            </w:pPr>
            <w:r>
              <w:rPr>
                <w:rFonts w:hint="eastAsia" w:ascii="宋体" w:hAnsi="宋体"/>
                <w:szCs w:val="21"/>
              </w:rPr>
              <w:t>2.符合设计及有关规范、标准要求；</w:t>
            </w:r>
          </w:p>
          <w:p>
            <w:pPr>
              <w:spacing w:line="300" w:lineRule="auto"/>
              <w:rPr>
                <w:rFonts w:ascii="宋体" w:hAnsi="宋体"/>
                <w:szCs w:val="21"/>
              </w:rPr>
            </w:pPr>
            <w:r>
              <w:rPr>
                <w:rFonts w:hint="eastAsia" w:ascii="宋体" w:hAnsi="宋体"/>
                <w:szCs w:val="21"/>
              </w:rPr>
              <w:t>1）每台风机须附有详细标明厂家的名称、设备的型号和编号及有关的技术数据等资料的标志铭牌；</w:t>
            </w:r>
          </w:p>
          <w:p>
            <w:pPr>
              <w:spacing w:line="300" w:lineRule="auto"/>
              <w:rPr>
                <w:rFonts w:ascii="宋体" w:hAnsi="宋体"/>
                <w:szCs w:val="21"/>
              </w:rPr>
            </w:pPr>
            <w:r>
              <w:rPr>
                <w:rFonts w:hint="eastAsia" w:ascii="宋体" w:hAnsi="宋体"/>
                <w:szCs w:val="21"/>
              </w:rPr>
              <w:t>2）提供风机示意图和/或参数表中应明确标示种类、型号、尺寸、安装方位及性能。</w:t>
            </w:r>
          </w:p>
          <w:p>
            <w:pPr>
              <w:spacing w:line="300" w:lineRule="auto"/>
              <w:rPr>
                <w:rFonts w:ascii="宋体" w:hAnsi="宋体"/>
                <w:szCs w:val="21"/>
              </w:rPr>
            </w:pPr>
            <w:r>
              <w:rPr>
                <w:rFonts w:hint="eastAsia" w:ascii="宋体" w:hAnsi="宋体"/>
                <w:szCs w:val="21"/>
              </w:rPr>
              <w:t>3）提供风机及其附件的完整样本及制造图、标明运行工况点的全风量性能曲线、噪音频谱特性。</w:t>
            </w:r>
          </w:p>
          <w:p>
            <w:pPr>
              <w:spacing w:line="300" w:lineRule="auto"/>
              <w:rPr>
                <w:rFonts w:ascii="宋体" w:hAnsi="宋体"/>
                <w:szCs w:val="21"/>
              </w:rPr>
            </w:pPr>
            <w:r>
              <w:rPr>
                <w:rFonts w:hint="eastAsia" w:ascii="宋体" w:hAnsi="宋体"/>
                <w:szCs w:val="21"/>
              </w:rPr>
              <w:t>4）风机所配用的电机应为名优品牌，不低于二级能效，供电条件为：</w:t>
            </w:r>
            <w:r>
              <w:rPr>
                <w:rFonts w:ascii="宋体" w:hAnsi="宋体"/>
                <w:szCs w:val="21"/>
              </w:rPr>
              <w:t>3</w:t>
            </w:r>
            <w:r>
              <w:rPr>
                <w:rFonts w:hint="eastAsia" w:ascii="宋体" w:hAnsi="宋体"/>
                <w:szCs w:val="21"/>
              </w:rPr>
              <w:t>Φ</w:t>
            </w:r>
            <w:r>
              <w:rPr>
                <w:rFonts w:ascii="宋体" w:hAnsi="宋体"/>
                <w:szCs w:val="21"/>
              </w:rPr>
              <w:t>/380V</w:t>
            </w:r>
            <w:r>
              <w:rPr>
                <w:rFonts w:hint="eastAsia" w:ascii="宋体" w:hAnsi="宋体"/>
                <w:szCs w:val="21"/>
              </w:rPr>
              <w:t>/50HZ或1Φ</w:t>
            </w:r>
            <w:r>
              <w:rPr>
                <w:rFonts w:ascii="宋体" w:hAnsi="宋体"/>
                <w:szCs w:val="21"/>
              </w:rPr>
              <w:t>/</w:t>
            </w:r>
            <w:r>
              <w:rPr>
                <w:rFonts w:hint="eastAsia" w:ascii="宋体" w:hAnsi="宋体"/>
                <w:szCs w:val="21"/>
              </w:rPr>
              <w:t>22</w:t>
            </w:r>
            <w:r>
              <w:rPr>
                <w:rFonts w:ascii="宋体" w:hAnsi="宋体"/>
                <w:szCs w:val="21"/>
              </w:rPr>
              <w:t>0V</w:t>
            </w:r>
            <w:r>
              <w:rPr>
                <w:rFonts w:hint="eastAsia" w:ascii="宋体" w:hAnsi="宋体"/>
                <w:szCs w:val="21"/>
              </w:rPr>
              <w:t>/50HZ，允许电压偏差:+6%，转速：≤1480</w:t>
            </w:r>
            <w:r>
              <w:rPr>
                <w:rFonts w:ascii="宋体" w:hAnsi="宋体"/>
                <w:szCs w:val="21"/>
              </w:rPr>
              <w:t>r</w:t>
            </w:r>
            <w:r>
              <w:rPr>
                <w:rFonts w:hint="eastAsia" w:ascii="宋体" w:hAnsi="宋体"/>
                <w:szCs w:val="21"/>
              </w:rPr>
              <w:t>p</w:t>
            </w:r>
            <w:r>
              <w:rPr>
                <w:rFonts w:ascii="宋体" w:hAnsi="宋体"/>
                <w:szCs w:val="21"/>
              </w:rPr>
              <w:t>m</w:t>
            </w:r>
            <w:r>
              <w:rPr>
                <w:rFonts w:hint="eastAsia" w:ascii="宋体" w:hAnsi="宋体"/>
                <w:szCs w:val="21"/>
              </w:rPr>
              <w:t>，绝缘等级：F级, 防护等级：IP55。</w:t>
            </w:r>
          </w:p>
          <w:p>
            <w:pPr>
              <w:spacing w:line="300" w:lineRule="auto"/>
              <w:rPr>
                <w:rFonts w:ascii="宋体" w:hAnsi="宋体"/>
                <w:szCs w:val="21"/>
              </w:rPr>
            </w:pPr>
            <w:r>
              <w:rPr>
                <w:rFonts w:hint="eastAsia" w:ascii="宋体" w:hAnsi="宋体"/>
                <w:szCs w:val="21"/>
              </w:rPr>
              <w:t>5）风机及传动装置应具有良好的接地措施以避免静电累积。</w:t>
            </w:r>
          </w:p>
          <w:p>
            <w:pPr>
              <w:spacing w:line="300" w:lineRule="auto"/>
              <w:rPr>
                <w:rFonts w:ascii="宋体" w:hAnsi="宋体"/>
                <w:szCs w:val="21"/>
              </w:rPr>
            </w:pPr>
            <w:r>
              <w:rPr>
                <w:rFonts w:hint="eastAsia" w:ascii="宋体" w:hAnsi="宋体"/>
                <w:szCs w:val="21"/>
              </w:rPr>
              <w:t>3.工艺要求：</w:t>
            </w:r>
          </w:p>
          <w:p>
            <w:pPr>
              <w:spacing w:line="300" w:lineRule="auto"/>
              <w:rPr>
                <w:rFonts w:ascii="宋体" w:hAnsi="宋体"/>
                <w:szCs w:val="21"/>
              </w:rPr>
            </w:pPr>
            <w:r>
              <w:rPr>
                <w:rFonts w:hint="eastAsia" w:ascii="宋体" w:hAnsi="宋体"/>
                <w:szCs w:val="21"/>
              </w:rPr>
              <w:t>1）轴流（混流）风机：</w:t>
            </w:r>
          </w:p>
          <w:p>
            <w:pPr>
              <w:spacing w:line="300" w:lineRule="auto"/>
              <w:rPr>
                <w:rFonts w:ascii="宋体" w:hAnsi="宋体"/>
                <w:szCs w:val="21"/>
              </w:rPr>
            </w:pPr>
            <w:r>
              <w:rPr>
                <w:rFonts w:hint="eastAsia" w:ascii="宋体" w:hAnsi="宋体"/>
                <w:szCs w:val="21"/>
              </w:rPr>
              <w:t>（1）安装方式、外形尺寸和基本参数详设计图纸。</w:t>
            </w:r>
          </w:p>
          <w:p>
            <w:pPr>
              <w:spacing w:line="300" w:lineRule="auto"/>
              <w:rPr>
                <w:rFonts w:ascii="宋体" w:hAnsi="宋体"/>
                <w:szCs w:val="21"/>
              </w:rPr>
            </w:pPr>
            <w:r>
              <w:rPr>
                <w:rFonts w:hint="eastAsia" w:ascii="宋体" w:hAnsi="宋体"/>
                <w:szCs w:val="21"/>
              </w:rPr>
              <w:t>（2）消防风机应有消防部门认证。</w:t>
            </w:r>
          </w:p>
          <w:p>
            <w:pPr>
              <w:spacing w:line="300" w:lineRule="auto"/>
              <w:rPr>
                <w:rFonts w:ascii="宋体" w:hAnsi="宋体"/>
                <w:szCs w:val="21"/>
              </w:rPr>
            </w:pPr>
            <w:r>
              <w:rPr>
                <w:rFonts w:hint="eastAsia" w:ascii="宋体" w:hAnsi="宋体"/>
                <w:szCs w:val="21"/>
              </w:rPr>
              <w:t>（3）风机出口最大风速不超过15m/s。</w:t>
            </w:r>
          </w:p>
          <w:p>
            <w:pPr>
              <w:spacing w:line="300" w:lineRule="auto"/>
              <w:rPr>
                <w:rFonts w:ascii="宋体" w:hAnsi="宋体"/>
                <w:szCs w:val="21"/>
              </w:rPr>
            </w:pPr>
            <w:r>
              <w:rPr>
                <w:rFonts w:hint="eastAsia" w:ascii="宋体" w:hAnsi="宋体"/>
                <w:szCs w:val="21"/>
              </w:rPr>
              <w:t>（4）机壳应有至少60微米厚的烤漆或热镀锌。应使叶片边缘与机壳间的缝隙最小且各处保持均匀。筒身应靠整体翻出90度的法兰边来保证其圆度。</w:t>
            </w:r>
          </w:p>
          <w:p>
            <w:pPr>
              <w:spacing w:line="300" w:lineRule="auto"/>
              <w:rPr>
                <w:rFonts w:ascii="宋体" w:hAnsi="宋体"/>
                <w:szCs w:val="21"/>
              </w:rPr>
            </w:pPr>
            <w:r>
              <w:rPr>
                <w:rFonts w:hint="eastAsia" w:ascii="宋体" w:hAnsi="宋体"/>
                <w:szCs w:val="21"/>
              </w:rPr>
              <w:t>（5）风机电机的底座及支架应特别的锁紧及固定以保证安全可靠。可以调节控制电机轴在壳体的中心—即使叶片边缘与筒身保持均匀的间隙。为考虑使用的调整，应在不变机壳及风管结构的前提下，适当考虑电机的加大。</w:t>
            </w:r>
          </w:p>
          <w:p>
            <w:pPr>
              <w:spacing w:line="300" w:lineRule="auto"/>
              <w:rPr>
                <w:rFonts w:ascii="宋体" w:hAnsi="宋体"/>
                <w:szCs w:val="21"/>
              </w:rPr>
            </w:pPr>
            <w:r>
              <w:rPr>
                <w:rFonts w:hint="eastAsia" w:ascii="宋体" w:hAnsi="宋体"/>
                <w:szCs w:val="21"/>
              </w:rPr>
              <w:t>（6）风机应在厂内全部组装好安装支架（吊装或座装）及进、出口配套法兰。</w:t>
            </w:r>
          </w:p>
          <w:p>
            <w:pPr>
              <w:spacing w:line="300" w:lineRule="auto"/>
              <w:rPr>
                <w:rFonts w:ascii="宋体" w:hAnsi="宋体"/>
                <w:szCs w:val="21"/>
              </w:rPr>
            </w:pPr>
            <w:r>
              <w:rPr>
                <w:rFonts w:hint="eastAsia" w:ascii="宋体" w:hAnsi="宋体"/>
                <w:szCs w:val="21"/>
              </w:rPr>
              <w:t>（7）叶轮应采用铝合金或铸铝等金属材料制作，叶片及轮毂采用精密模压工艺分别一次成型，叶轮应经动、静平衡试验进行校正。防排烟轴流风机可采用钢制叶片。</w:t>
            </w:r>
          </w:p>
          <w:p>
            <w:pPr>
              <w:spacing w:line="300" w:lineRule="auto"/>
              <w:rPr>
                <w:rFonts w:ascii="宋体" w:hAnsi="宋体"/>
                <w:szCs w:val="21"/>
              </w:rPr>
            </w:pPr>
            <w:r>
              <w:rPr>
                <w:rFonts w:hint="eastAsia" w:ascii="宋体" w:hAnsi="宋体"/>
                <w:szCs w:val="21"/>
              </w:rPr>
              <w:t>（8）叶片与筒身间的运转间隙，普通风机应不大于叶轮直径的1%；高温时由于机械膨胀系数与常温不同，其间隙应不大于2%。风机制造商应提供叶片与机壳均匀间隙装配的试验模型。</w:t>
            </w:r>
          </w:p>
          <w:p>
            <w:pPr>
              <w:spacing w:line="300" w:lineRule="auto"/>
              <w:rPr>
                <w:rFonts w:ascii="宋体" w:hAnsi="宋体"/>
                <w:szCs w:val="21"/>
              </w:rPr>
            </w:pPr>
            <w:r>
              <w:rPr>
                <w:rFonts w:hint="eastAsia" w:ascii="宋体" w:hAnsi="宋体"/>
                <w:szCs w:val="21"/>
              </w:rPr>
              <w:t>（9）叶片应靠键与键槽牢固地固定在驱动轴上。轴向应靠通过锥套式连接结构将叶片缩紧在驱动轴相应的位置。</w:t>
            </w:r>
          </w:p>
          <w:p>
            <w:pPr>
              <w:spacing w:line="300" w:lineRule="auto"/>
              <w:rPr>
                <w:rFonts w:ascii="宋体" w:hAnsi="宋体"/>
                <w:szCs w:val="21"/>
              </w:rPr>
            </w:pPr>
            <w:r>
              <w:rPr>
                <w:rFonts w:hint="eastAsia" w:ascii="宋体" w:hAnsi="宋体"/>
                <w:szCs w:val="21"/>
              </w:rPr>
              <w:t>（10）电机包括内部及延伸外部接线盒应至少提供IP 55的保护等级。</w:t>
            </w:r>
          </w:p>
          <w:p>
            <w:pPr>
              <w:spacing w:line="300" w:lineRule="auto"/>
              <w:rPr>
                <w:rFonts w:ascii="宋体" w:hAnsi="宋体"/>
                <w:szCs w:val="21"/>
              </w:rPr>
            </w:pPr>
          </w:p>
          <w:p>
            <w:pPr>
              <w:spacing w:line="300" w:lineRule="auto"/>
              <w:rPr>
                <w:rFonts w:ascii="宋体" w:hAnsi="宋体"/>
                <w:szCs w:val="21"/>
              </w:rPr>
            </w:pPr>
            <w:r>
              <w:rPr>
                <w:rFonts w:hint="eastAsia" w:ascii="宋体" w:hAnsi="宋体"/>
                <w:szCs w:val="21"/>
              </w:rPr>
              <w:t>2）低噪音离心风机箱：</w:t>
            </w:r>
          </w:p>
          <w:p>
            <w:pPr>
              <w:spacing w:line="300" w:lineRule="auto"/>
              <w:rPr>
                <w:rFonts w:ascii="宋体" w:hAnsi="宋体"/>
                <w:szCs w:val="21"/>
              </w:rPr>
            </w:pPr>
            <w:r>
              <w:rPr>
                <w:rFonts w:hint="eastAsia" w:ascii="宋体" w:hAnsi="宋体"/>
                <w:szCs w:val="21"/>
              </w:rPr>
              <w:t>（1）离心风机的综合效率应大于60%。</w:t>
            </w:r>
          </w:p>
          <w:p>
            <w:pPr>
              <w:spacing w:line="300" w:lineRule="auto"/>
              <w:rPr>
                <w:rFonts w:ascii="宋体" w:hAnsi="宋体"/>
                <w:szCs w:val="21"/>
              </w:rPr>
            </w:pPr>
            <w:r>
              <w:rPr>
                <w:rFonts w:hint="eastAsia" w:ascii="宋体" w:hAnsi="宋体"/>
                <w:szCs w:val="21"/>
              </w:rPr>
              <w:t>（2）消防排烟离心风机应有消防部门认证。</w:t>
            </w:r>
          </w:p>
          <w:p>
            <w:pPr>
              <w:spacing w:line="300" w:lineRule="auto"/>
              <w:rPr>
                <w:rFonts w:ascii="宋体" w:hAnsi="宋体"/>
                <w:szCs w:val="21"/>
              </w:rPr>
            </w:pPr>
            <w:r>
              <w:rPr>
                <w:rFonts w:hint="eastAsia" w:ascii="宋体" w:hAnsi="宋体"/>
                <w:szCs w:val="21"/>
              </w:rPr>
              <w:t>（3）离心风机安装方式、外形尺寸和基本参数按设计图纸要求。</w:t>
            </w:r>
          </w:p>
          <w:p>
            <w:pPr>
              <w:spacing w:line="300" w:lineRule="auto"/>
              <w:rPr>
                <w:rFonts w:ascii="宋体" w:hAnsi="宋体"/>
                <w:szCs w:val="21"/>
              </w:rPr>
            </w:pPr>
            <w:r>
              <w:rPr>
                <w:rFonts w:hint="eastAsia" w:ascii="宋体" w:hAnsi="宋体"/>
                <w:szCs w:val="21"/>
              </w:rPr>
              <w:t>（4）箱式离心风机的静压/全压比不小于0.7，且出口最大风速不超过15m/s。</w:t>
            </w:r>
          </w:p>
          <w:p>
            <w:pPr>
              <w:spacing w:line="300" w:lineRule="auto"/>
              <w:rPr>
                <w:rFonts w:ascii="宋体" w:hAnsi="宋体"/>
                <w:szCs w:val="21"/>
              </w:rPr>
            </w:pPr>
            <w:r>
              <w:rPr>
                <w:rFonts w:hint="eastAsia" w:ascii="宋体" w:hAnsi="宋体"/>
                <w:szCs w:val="21"/>
              </w:rPr>
              <w:t>（5）低噪音离心式风机箱：</w:t>
            </w:r>
          </w:p>
          <w:p>
            <w:pPr>
              <w:spacing w:line="300" w:lineRule="auto"/>
              <w:rPr>
                <w:rFonts w:ascii="宋体" w:hAnsi="宋体"/>
                <w:szCs w:val="21"/>
              </w:rPr>
            </w:pPr>
            <w:r>
              <w:rPr>
                <w:rFonts w:hint="eastAsia" w:ascii="宋体" w:hAnsi="宋体"/>
                <w:szCs w:val="21"/>
              </w:rPr>
              <w:t>机箱骨架为高强度铝形材，并采取防腐蚀处理。外板应是不小于</w:t>
            </w:r>
            <w:r>
              <w:rPr>
                <w:rFonts w:ascii="宋体" w:hAnsi="宋体"/>
                <w:szCs w:val="21"/>
              </w:rPr>
              <w:t>1.0mm</w:t>
            </w:r>
            <w:r>
              <w:rPr>
                <w:rFonts w:hint="eastAsia" w:ascii="宋体" w:hAnsi="宋体"/>
                <w:szCs w:val="21"/>
              </w:rPr>
              <w:t>镀锌或彩色钢板，中间为25mm的发泡层或为30mm吸音专用玻璃棉吸音板，内板应是不小于0.5</w:t>
            </w:r>
            <w:r>
              <w:rPr>
                <w:rFonts w:ascii="宋体" w:hAnsi="宋体"/>
                <w:szCs w:val="21"/>
              </w:rPr>
              <w:t>m</w:t>
            </w:r>
            <w:r>
              <w:rPr>
                <w:rFonts w:hint="eastAsia" w:ascii="宋体" w:hAnsi="宋体"/>
                <w:szCs w:val="21"/>
              </w:rPr>
              <w:t>m穿孔率不小于30%的穿孔镀锌钢板（内板在只作通风用途时用镀锌穿孔板，用于排烟时采用镀锌板）。机箱应是板式结构组合而成。为维修或服务，其结构应可以较快及较容易地拆散及组装。不可以用焊接的机箱；仅用于通风时，电机安装在箱体内，用于排烟时，电机应置于箱体外。</w:t>
            </w:r>
          </w:p>
          <w:p>
            <w:pPr>
              <w:spacing w:line="300" w:lineRule="auto"/>
              <w:rPr>
                <w:rFonts w:ascii="宋体" w:hAnsi="宋体"/>
                <w:szCs w:val="21"/>
              </w:rPr>
            </w:pPr>
            <w:r>
              <w:rPr>
                <w:rFonts w:hint="eastAsia" w:ascii="宋体" w:hAnsi="宋体"/>
                <w:szCs w:val="21"/>
              </w:rPr>
              <w:t>（6）风机及电机</w:t>
            </w:r>
            <w:r>
              <w:rPr>
                <w:rFonts w:ascii="宋体" w:hAnsi="宋体"/>
                <w:szCs w:val="21"/>
              </w:rPr>
              <w:t>技术要求</w:t>
            </w:r>
            <w:r>
              <w:rPr>
                <w:rFonts w:hint="eastAsia" w:ascii="宋体" w:hAnsi="宋体"/>
                <w:szCs w:val="21"/>
              </w:rPr>
              <w:t>：</w:t>
            </w:r>
          </w:p>
          <w:p>
            <w:pPr>
              <w:spacing w:line="300" w:lineRule="auto"/>
              <w:rPr>
                <w:rFonts w:ascii="宋体" w:hAnsi="宋体"/>
                <w:szCs w:val="21"/>
              </w:rPr>
            </w:pPr>
            <w:r>
              <w:rPr>
                <w:rFonts w:hint="eastAsia" w:ascii="宋体" w:hAnsi="宋体"/>
                <w:szCs w:val="21"/>
              </w:rPr>
              <w:t>①风机应是双进双宽（DIDW）、前弯或后倾叶片的离心风机。</w:t>
            </w:r>
          </w:p>
          <w:p>
            <w:pPr>
              <w:spacing w:line="300" w:lineRule="auto"/>
              <w:rPr>
                <w:rFonts w:ascii="宋体" w:hAnsi="宋体"/>
                <w:szCs w:val="21"/>
              </w:rPr>
            </w:pPr>
            <w:r>
              <w:rPr>
                <w:rFonts w:hint="eastAsia" w:ascii="宋体" w:hAnsi="宋体"/>
                <w:szCs w:val="21"/>
              </w:rPr>
              <w:t>②风机蜗壳及边板应有不小于0.6微米厚度的烤漆层除非其材质为镀锌钢板、不锈钢板或铝质等。</w:t>
            </w:r>
          </w:p>
          <w:p>
            <w:pPr>
              <w:spacing w:line="300" w:lineRule="auto"/>
              <w:rPr>
                <w:rFonts w:ascii="宋体" w:hAnsi="宋体"/>
                <w:szCs w:val="21"/>
              </w:rPr>
            </w:pPr>
            <w:r>
              <w:rPr>
                <w:rFonts w:hint="eastAsia" w:ascii="宋体" w:hAnsi="宋体"/>
                <w:szCs w:val="21"/>
              </w:rPr>
              <w:t>③风机壳体应有适当的厚度以避免产生振动及噪声。风机蜗壳应与边板连续咬口啮合或焊接。叶轮及进口导风环应为流线型设计及结构，制造商应标出最好的特性及效率。</w:t>
            </w:r>
          </w:p>
          <w:p>
            <w:pPr>
              <w:spacing w:line="300" w:lineRule="auto"/>
              <w:rPr>
                <w:rFonts w:ascii="宋体" w:hAnsi="宋体"/>
                <w:szCs w:val="21"/>
              </w:rPr>
            </w:pPr>
            <w:r>
              <w:rPr>
                <w:rFonts w:hint="eastAsia" w:ascii="宋体" w:hAnsi="宋体"/>
                <w:szCs w:val="21"/>
              </w:rPr>
              <w:t>④风机轴的尺寸应可以满足最大的转速运行极限，且安全运行范围为不超过临界转速的75%。任何在制造商提供的样本上未列出的非标准产品的应用，其临界转速及细节的计算应征得制造商的核准。</w:t>
            </w:r>
          </w:p>
          <w:p>
            <w:pPr>
              <w:spacing w:line="300" w:lineRule="auto"/>
              <w:rPr>
                <w:rFonts w:ascii="宋体" w:hAnsi="宋体"/>
                <w:szCs w:val="21"/>
              </w:rPr>
            </w:pPr>
            <w:r>
              <w:rPr>
                <w:rFonts w:hint="eastAsia" w:ascii="宋体" w:hAnsi="宋体"/>
                <w:szCs w:val="21"/>
              </w:rPr>
              <w:t>⑥轴承应采用进口品牌产品，并配有标准润滑油注入口；轴承应是自对心调整型锥套轴承。轴承应是自润滑密封免维护型球轴承。轴承寿命基于ISO 281的L10标准，其寿命应不小于75,000小时。应提交轴承寿命计算书。</w:t>
            </w:r>
          </w:p>
          <w:p>
            <w:pPr>
              <w:spacing w:line="300" w:lineRule="auto"/>
              <w:rPr>
                <w:rFonts w:ascii="宋体" w:hAnsi="宋体"/>
                <w:szCs w:val="21"/>
              </w:rPr>
            </w:pPr>
            <w:r>
              <w:rPr>
                <w:rFonts w:hint="eastAsia" w:ascii="宋体" w:hAnsi="宋体"/>
                <w:szCs w:val="21"/>
              </w:rPr>
              <w:t>⑧电机安装功率应不小于吸收功率（轴功率）的130%，且应有足够的启动力矩使风机可以顺利地启动及连续运行。电机与风机的传动转速比≤1.75。</w:t>
            </w:r>
          </w:p>
          <w:p>
            <w:pPr>
              <w:spacing w:line="300" w:lineRule="auto"/>
              <w:rPr>
                <w:rFonts w:ascii="宋体" w:hAnsi="宋体"/>
                <w:szCs w:val="21"/>
              </w:rPr>
            </w:pPr>
            <w:r>
              <w:rPr>
                <w:rFonts w:hint="eastAsia" w:ascii="宋体" w:hAnsi="宋体"/>
                <w:szCs w:val="21"/>
              </w:rPr>
              <w:t>⑨皮带及带轮应至少能承载电机功率的150%。</w:t>
            </w:r>
          </w:p>
          <w:p>
            <w:pPr>
              <w:spacing w:line="300" w:lineRule="auto"/>
              <w:rPr>
                <w:rFonts w:ascii="宋体" w:hAnsi="宋体"/>
                <w:szCs w:val="21"/>
              </w:rPr>
            </w:pPr>
            <w:r>
              <w:rPr>
                <w:rFonts w:hint="eastAsia" w:ascii="宋体" w:hAnsi="宋体"/>
                <w:szCs w:val="21"/>
              </w:rPr>
              <w:t>⑩离心风机和驱动电机安装在共同机架上，机架应有双向调节功能（电机壳前后左右调节）；该共同机架底部与箱体之间应设置减振机构。</w:t>
            </w:r>
          </w:p>
          <w:p>
            <w:pPr>
              <w:spacing w:line="300" w:lineRule="auto"/>
              <w:rPr>
                <w:rFonts w:ascii="宋体" w:hAnsi="宋体"/>
                <w:szCs w:val="21"/>
              </w:rPr>
            </w:pPr>
            <w:r>
              <w:rPr>
                <w:rFonts w:hint="eastAsia" w:ascii="宋体" w:hAnsi="宋体"/>
                <w:szCs w:val="21"/>
              </w:rPr>
              <w:t>（7）减振机构：机组内减振采用阻尼弹簧或尼龙减振，各减振点经严格选型计算，保证减振效率95%以上。当采用弹簧减振器时，应设置防止高频失效措施。</w:t>
            </w:r>
          </w:p>
          <w:p>
            <w:pPr>
              <w:spacing w:line="300" w:lineRule="auto"/>
              <w:rPr>
                <w:rFonts w:ascii="宋体" w:hAnsi="宋体"/>
                <w:szCs w:val="21"/>
              </w:rPr>
            </w:pPr>
            <w:r>
              <w:rPr>
                <w:rFonts w:hint="eastAsia" w:ascii="宋体" w:hAnsi="宋体"/>
                <w:szCs w:val="21"/>
              </w:rPr>
              <w:t>（8）风机出口软连接：采用进口工程专用涂胶玻璃纤维帆布，符合消防要求，且在潮湿环境下可保证较长寿命。</w:t>
            </w:r>
          </w:p>
          <w:p>
            <w:pPr>
              <w:spacing w:line="300" w:lineRule="auto"/>
              <w:rPr>
                <w:rFonts w:ascii="宋体" w:hAnsi="宋体"/>
                <w:szCs w:val="21"/>
              </w:rPr>
            </w:pPr>
            <w:r>
              <w:rPr>
                <w:rFonts w:hint="eastAsia" w:ascii="宋体" w:hAnsi="宋体"/>
                <w:szCs w:val="21"/>
              </w:rPr>
              <w:t>4．风机须有原厂配备用于现场安装的减震装置。</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2、排风扇</w:t>
            </w: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ascii="宋体" w:hAnsi="宋体"/>
              </w:rPr>
              <w:t>1</w:t>
            </w:r>
            <w:r>
              <w:rPr>
                <w:rFonts w:hint="eastAsia" w:ascii="宋体" w:hAnsi="宋体"/>
              </w:rPr>
              <w:t>、</w:t>
            </w:r>
            <w:r>
              <w:rPr>
                <w:rFonts w:ascii="宋体" w:hAnsi="宋体"/>
              </w:rPr>
              <w:t>注册资金</w:t>
            </w:r>
            <w:r>
              <w:rPr>
                <w:rFonts w:hint="eastAsia" w:ascii="宋体" w:hAnsi="宋体"/>
              </w:rPr>
              <w:t>5</w:t>
            </w:r>
            <w:r>
              <w:rPr>
                <w:rFonts w:ascii="宋体" w:hAnsi="宋体"/>
              </w:rPr>
              <w:t xml:space="preserve">00 </w:t>
            </w:r>
            <w:r>
              <w:rPr>
                <w:rFonts w:hint="eastAsia" w:ascii="宋体" w:hAnsi="宋体"/>
              </w:rPr>
              <w:t>万元及以上；</w:t>
            </w:r>
            <w:r>
              <w:rPr>
                <w:rFonts w:ascii="宋体" w:hAnsi="宋体"/>
                <w:szCs w:val="21"/>
              </w:rPr>
              <w:t xml:space="preserve"> </w:t>
            </w:r>
          </w:p>
          <w:p>
            <w:pPr>
              <w:spacing w:line="300" w:lineRule="auto"/>
              <w:rPr>
                <w:rFonts w:ascii="宋体" w:hAnsi="宋体"/>
                <w:szCs w:val="21"/>
              </w:rPr>
            </w:pPr>
            <w:r>
              <w:rPr>
                <w:rFonts w:ascii="宋体" w:hAnsi="宋体"/>
                <w:szCs w:val="21"/>
              </w:rPr>
              <w:t>2、设备商必须通过ISO9001:2000系列质量体系认证、ISO14001环境管理体系认证及全国工业产品生产许可证</w:t>
            </w:r>
          </w:p>
          <w:p>
            <w:pPr>
              <w:spacing w:line="300" w:lineRule="auto"/>
              <w:rPr>
                <w:rFonts w:ascii="宋体" w:hAnsi="宋体"/>
                <w:szCs w:val="21"/>
              </w:rPr>
            </w:pPr>
            <w:r>
              <w:rPr>
                <w:rFonts w:ascii="宋体" w:hAnsi="宋体"/>
              </w:rPr>
              <w:t>3．必须在深圳地区设有</w:t>
            </w:r>
            <w:r>
              <w:rPr>
                <w:rFonts w:hint="eastAsia" w:ascii="宋体" w:hAnsi="宋体"/>
              </w:rPr>
              <w:t>长期固定的</w:t>
            </w:r>
            <w:r>
              <w:rPr>
                <w:rFonts w:ascii="宋体" w:hAnsi="宋体"/>
              </w:rPr>
              <w:t>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符合国家或行业的生产技术标准；符合设计及有关规范要求</w:t>
            </w:r>
            <w:r>
              <w:rPr>
                <w:rFonts w:ascii="宋体" w:hAnsi="宋体"/>
                <w:szCs w:val="21"/>
              </w:rPr>
              <w:t>。</w:t>
            </w:r>
          </w:p>
          <w:p>
            <w:pPr>
              <w:spacing w:line="300" w:lineRule="auto"/>
              <w:rPr>
                <w:rFonts w:ascii="宋体" w:hAnsi="宋体"/>
                <w:szCs w:val="21"/>
              </w:rPr>
            </w:pPr>
            <w:r>
              <w:rPr>
                <w:rFonts w:hint="eastAsia" w:ascii="宋体" w:hAnsi="宋体"/>
                <w:szCs w:val="21"/>
              </w:rPr>
              <w:t>1）电机：电机转轴采用高精度镜面加工，能持久润滑，永不生锈，难以磨损。应采用合理的电机结构，散热快，能延缓产品材料老化，确保长久的使用寿命。</w:t>
            </w:r>
          </w:p>
          <w:p>
            <w:pPr>
              <w:spacing w:line="300" w:lineRule="auto"/>
              <w:rPr>
                <w:rFonts w:ascii="宋体" w:hAnsi="宋体"/>
                <w:szCs w:val="21"/>
              </w:rPr>
            </w:pPr>
            <w:r>
              <w:rPr>
                <w:rFonts w:hint="eastAsia" w:ascii="宋体" w:hAnsi="宋体"/>
                <w:szCs w:val="21"/>
              </w:rPr>
              <w:t>2）选择低噪声、产品质量稳定的产品，产品噪声要求在40～45</w:t>
            </w:r>
            <w:r>
              <w:rPr>
                <w:rFonts w:ascii="宋体" w:hAnsi="宋体"/>
                <w:szCs w:val="21"/>
              </w:rPr>
              <w:t>dB</w:t>
            </w:r>
            <w:r>
              <w:rPr>
                <w:rFonts w:hint="eastAsia" w:ascii="宋体" w:hAnsi="宋体"/>
                <w:szCs w:val="21"/>
              </w:rPr>
              <w:t>（A）。</w:t>
            </w:r>
          </w:p>
          <w:p>
            <w:pPr>
              <w:spacing w:line="300" w:lineRule="auto"/>
              <w:rPr>
                <w:rFonts w:ascii="宋体" w:hAnsi="宋体"/>
                <w:szCs w:val="21"/>
              </w:rPr>
            </w:pPr>
            <w:r>
              <w:rPr>
                <w:rFonts w:hint="eastAsia" w:ascii="宋体" w:hAnsi="宋体"/>
                <w:szCs w:val="21"/>
              </w:rPr>
              <w:t>3）</w:t>
            </w:r>
            <w:r>
              <w:rPr>
                <w:rFonts w:hint="eastAsia" w:ascii="宋体" w:hAnsi="宋体"/>
                <w:szCs w:val="21"/>
                <w:u w:val="single"/>
              </w:rPr>
              <w:t>全金属或塑料</w:t>
            </w:r>
            <w:r>
              <w:rPr>
                <w:rFonts w:hint="eastAsia" w:ascii="宋体" w:hAnsi="宋体"/>
                <w:szCs w:val="21"/>
              </w:rPr>
              <w:t>外壳及叶轮。外表美观，富有装饰感。拆装方便，易于清理。</w:t>
            </w:r>
          </w:p>
          <w:p>
            <w:pPr>
              <w:spacing w:line="300" w:lineRule="auto"/>
              <w:rPr>
                <w:rFonts w:ascii="宋体" w:hAnsi="宋体"/>
                <w:szCs w:val="21"/>
              </w:rPr>
            </w:pPr>
            <w:r>
              <w:rPr>
                <w:rFonts w:hint="eastAsia" w:ascii="宋体" w:hAnsi="宋体"/>
                <w:szCs w:val="21"/>
              </w:rPr>
              <w:t>4）应选择采用滚珠轴承的排气扇。排气扇应设有止回阀。带超温保护。</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rPr>
            </w:pPr>
            <w:r>
              <w:rPr>
                <w:rFonts w:hint="eastAsia" w:ascii="宋体" w:hAnsi="宋体"/>
              </w:rPr>
              <w:t>3、镀锌钢管</w:t>
            </w:r>
          </w:p>
          <w:p>
            <w:pPr>
              <w:spacing w:line="300" w:lineRule="auto"/>
              <w:rPr>
                <w:rFonts w:ascii="宋体" w:hAnsi="宋体"/>
                <w:szCs w:val="21"/>
              </w:rPr>
            </w:pPr>
          </w:p>
          <w:p>
            <w:pPr>
              <w:spacing w:line="300" w:lineRule="auto"/>
              <w:rPr>
                <w:rFonts w:ascii="宋体" w:hAnsi="宋体"/>
                <w:szCs w:val="21"/>
              </w:rPr>
            </w:pPr>
          </w:p>
        </w:tc>
        <w:tc>
          <w:tcPr>
            <w:tcW w:w="5990" w:type="dxa"/>
          </w:tcPr>
          <w:p>
            <w:pPr>
              <w:rPr>
                <w:rFonts w:ascii="宋体" w:hAnsi="宋体"/>
              </w:rPr>
            </w:pPr>
            <w:r>
              <w:rPr>
                <w:rFonts w:hint="eastAsia" w:ascii="宋体" w:hAnsi="宋体"/>
              </w:rPr>
              <w:t>一、商务要求：</w:t>
            </w:r>
          </w:p>
          <w:p>
            <w:pPr>
              <w:ind w:left="-99" w:leftChars="-47" w:firstLine="105" w:firstLineChars="50"/>
              <w:rPr>
                <w:rFonts w:ascii="宋体" w:hAnsi="宋体"/>
              </w:rPr>
            </w:pPr>
            <w:r>
              <w:rPr>
                <w:rFonts w:hint="eastAsia" w:ascii="宋体" w:hAnsi="宋体"/>
              </w:rPr>
              <w:t>1）制造商注册资本：不少于2000万元人民币。</w:t>
            </w:r>
          </w:p>
          <w:p>
            <w:pPr>
              <w:ind w:left="-99" w:leftChars="-47" w:firstLine="105" w:firstLineChars="50"/>
              <w:rPr>
                <w:rFonts w:ascii="宋体" w:hAnsi="宋体"/>
              </w:rPr>
            </w:pPr>
            <w:r>
              <w:rPr>
                <w:rFonts w:hint="eastAsia" w:ascii="宋体" w:hAnsi="宋体"/>
              </w:rPr>
              <w:t>2）制造商应通过ISO9001：2000质量管理体系认证。</w:t>
            </w:r>
          </w:p>
          <w:p>
            <w:pPr>
              <w:ind w:left="-99" w:leftChars="-47" w:firstLine="105" w:firstLineChars="50"/>
              <w:rPr>
                <w:rFonts w:ascii="宋体" w:hAnsi="宋体"/>
              </w:rPr>
            </w:pPr>
            <w:r>
              <w:rPr>
                <w:rFonts w:hint="eastAsia" w:ascii="宋体" w:hAnsi="宋体"/>
              </w:rPr>
              <w:t>3）产品应为省级以上名牌产品，或省级以上著名商标，或国家免检产品。</w:t>
            </w:r>
          </w:p>
          <w:p>
            <w:pPr>
              <w:ind w:left="-99" w:leftChars="-47" w:firstLine="105" w:firstLineChars="50"/>
              <w:rPr>
                <w:rFonts w:ascii="宋体" w:hAnsi="宋体"/>
              </w:rPr>
            </w:pPr>
            <w:r>
              <w:rPr>
                <w:rFonts w:hint="eastAsia" w:ascii="宋体" w:hAnsi="宋体"/>
              </w:rPr>
              <w:t>4）制造商在深圳地区设有完善的售后服务机构。</w:t>
            </w:r>
          </w:p>
          <w:p>
            <w:pPr>
              <w:ind w:left="-99" w:leftChars="-47" w:firstLine="105" w:firstLineChars="50"/>
              <w:rPr>
                <w:rFonts w:ascii="宋体" w:hAnsi="宋体"/>
              </w:rPr>
            </w:pPr>
          </w:p>
          <w:p>
            <w:pPr>
              <w:rPr>
                <w:rFonts w:ascii="宋体" w:hAnsi="宋体"/>
              </w:rPr>
            </w:pPr>
            <w:r>
              <w:rPr>
                <w:rFonts w:hint="eastAsia" w:ascii="宋体" w:hAnsi="宋体"/>
              </w:rPr>
              <w:t>二、技术要求：</w:t>
            </w:r>
          </w:p>
          <w:p>
            <w:pPr>
              <w:ind w:left="-99" w:leftChars="-47" w:firstLine="105" w:firstLineChars="50"/>
              <w:rPr>
                <w:rFonts w:ascii="宋体" w:hAnsi="宋体"/>
              </w:rPr>
            </w:pPr>
            <w:r>
              <w:rPr>
                <w:rFonts w:hint="eastAsia" w:ascii="宋体" w:hAnsi="宋体"/>
              </w:rPr>
              <w:t>1）管材应符合GB/T3091—2008《低压流体输送用镀锌焊接钢管》的要求。</w:t>
            </w:r>
          </w:p>
          <w:p>
            <w:pPr>
              <w:rPr>
                <w:rFonts w:ascii="宋体" w:hAnsi="宋体"/>
              </w:rPr>
            </w:pPr>
            <w:r>
              <w:rPr>
                <w:rFonts w:hint="eastAsia" w:ascii="宋体" w:hAnsi="宋体"/>
              </w:rPr>
              <w:t>2）管材的压力等级应</w:t>
            </w:r>
            <w:r>
              <w:rPr>
                <w:rFonts w:ascii="宋体" w:hAnsi="宋体"/>
              </w:rPr>
              <w:t>符合设计要求</w:t>
            </w:r>
            <w:r>
              <w:rPr>
                <w:rFonts w:hint="eastAsia" w:ascii="宋体" w:hAnsi="宋体"/>
              </w:rPr>
              <w:t>。</w:t>
            </w:r>
          </w:p>
          <w:p>
            <w:pPr>
              <w:ind w:left="216" w:leftChars="3" w:hanging="210" w:hangingChars="100"/>
              <w:rPr>
                <w:rFonts w:ascii="宋体" w:hAnsi="宋体"/>
                <w:szCs w:val="21"/>
              </w:rPr>
            </w:pPr>
            <w:r>
              <w:rPr>
                <w:rFonts w:hint="eastAsia" w:ascii="宋体" w:hAnsi="宋体"/>
              </w:rPr>
              <w:t>3）</w:t>
            </w:r>
            <w:r>
              <w:rPr>
                <w:rFonts w:hint="eastAsia" w:ascii="宋体" w:hAnsi="宋体"/>
                <w:szCs w:val="21"/>
              </w:rPr>
              <w:t>管材</w:t>
            </w:r>
            <w:r>
              <w:rPr>
                <w:rFonts w:ascii="宋体" w:hAnsi="宋体"/>
                <w:szCs w:val="21"/>
              </w:rPr>
              <w:t>经热浸镀锌方式在钢管内外表面镀上</w:t>
            </w:r>
            <w:r>
              <w:rPr>
                <w:rFonts w:hint="eastAsia" w:ascii="宋体" w:hAnsi="宋体"/>
                <w:szCs w:val="21"/>
              </w:rPr>
              <w:t>完整的镀锌层。</w:t>
            </w:r>
          </w:p>
          <w:p>
            <w:pPr>
              <w:ind w:left="216" w:leftChars="3" w:hanging="210" w:hangingChars="100"/>
              <w:rPr>
                <w:rFonts w:ascii="宋体" w:hAnsi="宋体"/>
              </w:rPr>
            </w:pPr>
            <w:r>
              <w:rPr>
                <w:rFonts w:hint="eastAsia" w:ascii="宋体" w:hAnsi="宋体"/>
              </w:rPr>
              <w:t>4) 连接方式：</w:t>
            </w:r>
          </w:p>
          <w:p>
            <w:pPr>
              <w:ind w:firstLine="420" w:firstLineChars="200"/>
              <w:rPr>
                <w:rFonts w:ascii="宋体" w:hAnsi="宋体"/>
              </w:rPr>
            </w:pPr>
            <w:r>
              <w:rPr>
                <w:rFonts w:ascii="宋体" w:hAnsi="宋体"/>
              </w:rPr>
              <w:t>①</w:t>
            </w:r>
            <w:r>
              <w:rPr>
                <w:rFonts w:hint="eastAsia" w:ascii="宋体" w:hAnsi="宋体"/>
              </w:rPr>
              <w:t xml:space="preserve"> 管径&lt;DN100采用螺纹连接，</w:t>
            </w:r>
          </w:p>
          <w:p>
            <w:pPr>
              <w:ind w:firstLine="420" w:firstLineChars="200"/>
              <w:rPr>
                <w:rFonts w:ascii="宋体" w:hAnsi="宋体"/>
              </w:rPr>
            </w:pPr>
            <w:r>
              <w:rPr>
                <w:rFonts w:hint="eastAsia" w:ascii="宋体" w:hAnsi="宋体"/>
              </w:rPr>
              <w:t>② 管径≥DN100采用卡箍连接。</w:t>
            </w:r>
          </w:p>
          <w:p>
            <w:pPr>
              <w:ind w:left="-420" w:leftChars="-200" w:firstLine="420" w:firstLineChars="200"/>
              <w:rPr>
                <w:rFonts w:ascii="宋体" w:hAnsi="宋体"/>
              </w:rPr>
            </w:pPr>
            <w:r>
              <w:rPr>
                <w:rFonts w:hint="eastAsia" w:ascii="宋体" w:hAnsi="宋体"/>
              </w:rPr>
              <w:t>5）管件根据设计压力要求选用热镀锌的可锻铸铁、球墨铸铁或</w:t>
            </w:r>
          </w:p>
          <w:p>
            <w:pPr>
              <w:rPr>
                <w:rFonts w:ascii="宋体" w:hAnsi="宋体"/>
              </w:rPr>
            </w:pPr>
            <w:r>
              <w:rPr>
                <w:rFonts w:hint="eastAsia" w:ascii="宋体" w:hAnsi="宋体"/>
              </w:rPr>
              <w:t>无缝钢管件。</w:t>
            </w:r>
          </w:p>
          <w:p>
            <w:pPr>
              <w:spacing w:line="300" w:lineRule="auto"/>
              <w:rPr>
                <w:rFonts w:ascii="宋体" w:hAnsi="宋体"/>
                <w:szCs w:val="21"/>
              </w:rPr>
            </w:pPr>
          </w:p>
        </w:tc>
        <w:tc>
          <w:tcPr>
            <w:tcW w:w="1686" w:type="dxa"/>
          </w:tcPr>
          <w:p>
            <w:pPr>
              <w:adjustRightInd w:val="0"/>
              <w:snapToGrid w:val="0"/>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4、镀锌钢板</w:t>
            </w: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1、注册资本不得少于3000万人民币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1.材料品种、规格、性能与厚度等应符合设计和现行国家有关产品标准的规定；当设计无规定时，钢板或镀锌钢板的厚度应按《通风与空调工程施工质量验收规范》（GB50243-2002）执行；生产制作严格按照（</w:t>
            </w:r>
            <w:r>
              <w:rPr>
                <w:rFonts w:ascii="宋体" w:hAnsi="宋体"/>
                <w:szCs w:val="21"/>
              </w:rPr>
              <w:t>通风管道技术规程</w:t>
            </w:r>
            <w:r>
              <w:rPr>
                <w:rFonts w:hint="eastAsia" w:ascii="宋体" w:hAnsi="宋体"/>
                <w:szCs w:val="21"/>
              </w:rPr>
              <w:t>）等国家有关规范标准进行。</w:t>
            </w:r>
          </w:p>
          <w:p>
            <w:pPr>
              <w:spacing w:line="300" w:lineRule="auto"/>
              <w:rPr>
                <w:rFonts w:ascii="宋体" w:hAnsi="宋体"/>
                <w:szCs w:val="21"/>
              </w:rPr>
            </w:pPr>
            <w:r>
              <w:rPr>
                <w:rFonts w:hint="eastAsia" w:ascii="宋体" w:hAnsi="宋体"/>
                <w:szCs w:val="21"/>
              </w:rPr>
              <w:t>2.应符合质量要求，有出厂合格证明书或质量鉴定文件；</w:t>
            </w:r>
          </w:p>
          <w:p>
            <w:pPr>
              <w:spacing w:line="300" w:lineRule="auto"/>
              <w:rPr>
                <w:rFonts w:ascii="宋体" w:hAnsi="宋体"/>
                <w:szCs w:val="21"/>
              </w:rPr>
            </w:pPr>
            <w:r>
              <w:rPr>
                <w:rFonts w:hint="eastAsia" w:ascii="宋体" w:hAnsi="宋体"/>
                <w:szCs w:val="21"/>
              </w:rPr>
              <w:t>对普通薄钢板，应板材表面平整，厚度均匀，有紧密的氧化层薄膜；表面不得有裂纹、结疤和锈斑；</w:t>
            </w:r>
          </w:p>
          <w:p>
            <w:pPr>
              <w:spacing w:line="300" w:lineRule="auto"/>
              <w:rPr>
                <w:rFonts w:ascii="宋体" w:hAnsi="宋体"/>
                <w:szCs w:val="21"/>
              </w:rPr>
            </w:pPr>
            <w:r>
              <w:rPr>
                <w:rFonts w:hint="eastAsia" w:ascii="宋体" w:hAnsi="宋体"/>
                <w:szCs w:val="21"/>
              </w:rPr>
              <w:t>3.对镀锌薄钢板，镀锌层应均匀，有结晶花纹；锌层应无泛白、麻点、起皮、脱落等缺陷。</w:t>
            </w:r>
          </w:p>
          <w:p>
            <w:pPr>
              <w:spacing w:line="300" w:lineRule="auto"/>
              <w:rPr>
                <w:rFonts w:ascii="宋体" w:hAnsi="宋体"/>
                <w:szCs w:val="21"/>
              </w:rPr>
            </w:pPr>
            <w:r>
              <w:rPr>
                <w:rFonts w:hint="eastAsia" w:ascii="宋体" w:hAnsi="宋体"/>
                <w:szCs w:val="21"/>
              </w:rPr>
              <w:t>4. 若采用机制风管，需提供风管产品的变形量及漏风量检验报告，要求性能优于国家规定值。</w:t>
            </w:r>
          </w:p>
          <w:p>
            <w:pPr>
              <w:spacing w:line="300" w:lineRule="auto"/>
              <w:rPr>
                <w:rFonts w:ascii="宋体" w:hAnsi="宋体"/>
                <w:szCs w:val="21"/>
              </w:rPr>
            </w:pPr>
            <w:r>
              <w:rPr>
                <w:rFonts w:hint="eastAsia" w:ascii="宋体" w:hAnsi="宋体"/>
                <w:szCs w:val="21"/>
              </w:rPr>
              <w:t>6.材质符合国家环保要求。</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5、风管软接</w:t>
            </w: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1、设备商必须通过ISO9001:2000系列质量体系认证；并提供证书复印件；</w:t>
            </w:r>
          </w:p>
          <w:p>
            <w:pPr>
              <w:spacing w:line="300" w:lineRule="auto"/>
              <w:rPr>
                <w:rFonts w:ascii="宋体" w:hAnsi="宋体"/>
                <w:szCs w:val="21"/>
              </w:rPr>
            </w:pPr>
            <w:r>
              <w:rPr>
                <w:rFonts w:hint="eastAsia" w:ascii="宋体" w:hAnsi="宋体"/>
                <w:szCs w:val="21"/>
              </w:rPr>
              <w:t>2、设备商必须在深圳地区设有长期固定的售后服务及维修机构；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1.应符合设计和有关规范的要求；</w:t>
            </w:r>
          </w:p>
          <w:p>
            <w:pPr>
              <w:spacing w:line="300" w:lineRule="auto"/>
              <w:rPr>
                <w:rFonts w:ascii="宋体" w:hAnsi="宋体"/>
                <w:szCs w:val="21"/>
              </w:rPr>
            </w:pPr>
            <w:r>
              <w:rPr>
                <w:rFonts w:hint="eastAsia" w:ascii="宋体" w:hAnsi="宋体"/>
                <w:szCs w:val="21"/>
              </w:rPr>
              <w:t xml:space="preserve">2.应选用具有防腐、防潮、不透气、不易霉变的柔性材料，并符合要求的气密性标准，燃烧等级达到国标B级；适用于指定的风压和气温条件；有防止结露的措施； </w:t>
            </w:r>
          </w:p>
          <w:p>
            <w:pPr>
              <w:spacing w:line="300" w:lineRule="auto"/>
              <w:rPr>
                <w:rFonts w:ascii="宋体" w:hAnsi="宋体"/>
                <w:szCs w:val="21"/>
              </w:rPr>
            </w:pPr>
            <w:r>
              <w:rPr>
                <w:rFonts w:hint="eastAsia" w:ascii="宋体" w:hAnsi="宋体"/>
                <w:szCs w:val="21"/>
              </w:rPr>
              <w:t>3.长度一般为150~250mm，其接合缝应牢固、严密，并不得作为异径管使用；</w:t>
            </w:r>
          </w:p>
          <w:p>
            <w:pPr>
              <w:spacing w:line="300" w:lineRule="auto"/>
              <w:rPr>
                <w:rFonts w:ascii="宋体" w:hAnsi="宋体"/>
                <w:szCs w:val="21"/>
              </w:rPr>
            </w:pPr>
            <w:r>
              <w:rPr>
                <w:rFonts w:hint="eastAsia" w:ascii="宋体" w:hAnsi="宋体"/>
                <w:szCs w:val="21"/>
              </w:rPr>
              <w:t>4.设于沉降缝的软性短管，其长度应大于沉降缝的宽度。</w:t>
            </w:r>
          </w:p>
          <w:p>
            <w:pPr>
              <w:spacing w:line="300" w:lineRule="auto"/>
              <w:rPr>
                <w:rFonts w:ascii="宋体" w:hAnsi="宋体"/>
                <w:szCs w:val="21"/>
              </w:rPr>
            </w:pPr>
            <w:r>
              <w:rPr>
                <w:rFonts w:hint="eastAsia" w:ascii="宋体" w:hAnsi="宋体"/>
                <w:szCs w:val="21"/>
              </w:rPr>
              <w:t>5.风机出口软连接：采用进口工程专用涂胶玻璃纤维帆布，符合消防要求，且在潮湿环境下可保证较长寿命。</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6、不锈钢软接头、不锈钢波纹补偿器</w:t>
            </w: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w:t>
            </w:r>
            <w:r>
              <w:rPr>
                <w:rFonts w:hint="eastAsia" w:ascii="宋体" w:hAnsi="宋体"/>
              </w:rPr>
              <w:t>注册资本不得少于1000万人民币。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1.符合设计及有关规范、标准要求；</w:t>
            </w:r>
          </w:p>
          <w:p>
            <w:pPr>
              <w:spacing w:line="300" w:lineRule="auto"/>
              <w:rPr>
                <w:rFonts w:ascii="宋体" w:hAnsi="宋体"/>
                <w:szCs w:val="21"/>
              </w:rPr>
            </w:pPr>
            <w:r>
              <w:rPr>
                <w:rFonts w:hint="eastAsia" w:ascii="宋体" w:hAnsi="宋体"/>
                <w:szCs w:val="21"/>
              </w:rPr>
              <w:t>2.公称压力大于各系统设计要求的试验压力；</w:t>
            </w:r>
          </w:p>
          <w:p>
            <w:pPr>
              <w:spacing w:line="300" w:lineRule="auto"/>
              <w:rPr>
                <w:rFonts w:ascii="宋体" w:hAnsi="宋体"/>
                <w:szCs w:val="21"/>
              </w:rPr>
            </w:pPr>
            <w:r>
              <w:rPr>
                <w:rFonts w:hint="eastAsia" w:ascii="宋体" w:hAnsi="宋体"/>
                <w:szCs w:val="21"/>
              </w:rPr>
              <w:t>3.</w:t>
            </w:r>
            <w:r>
              <w:rPr>
                <w:rFonts w:ascii="宋体" w:hAnsi="宋体"/>
                <w:szCs w:val="21"/>
              </w:rPr>
              <w:t>使用温度-20</w:t>
            </w:r>
            <w:r>
              <w:rPr>
                <w:rFonts w:hint="eastAsia" w:ascii="宋体" w:hAnsi="宋体"/>
                <w:szCs w:val="21"/>
              </w:rPr>
              <w:t>℃</w:t>
            </w:r>
            <w:r>
              <w:rPr>
                <w:rFonts w:ascii="宋体" w:hAnsi="宋体"/>
                <w:szCs w:val="21"/>
              </w:rPr>
              <w:t xml:space="preserve"> </w:t>
            </w:r>
            <w:r>
              <w:rPr>
                <w:rFonts w:hint="eastAsia" w:ascii="宋体" w:hAnsi="宋体"/>
                <w:szCs w:val="21"/>
              </w:rPr>
              <w:t>~ 250℃。</w:t>
            </w:r>
          </w:p>
          <w:p>
            <w:pPr>
              <w:spacing w:line="300" w:lineRule="auto"/>
              <w:rPr>
                <w:rFonts w:ascii="宋体" w:hAnsi="宋体"/>
                <w:szCs w:val="21"/>
              </w:rPr>
            </w:pPr>
            <w:r>
              <w:rPr>
                <w:rFonts w:hint="eastAsia" w:ascii="宋体" w:hAnsi="宋体"/>
                <w:szCs w:val="21"/>
              </w:rPr>
              <w:t>4.</w:t>
            </w:r>
            <w:r>
              <w:rPr>
                <w:rFonts w:hint="eastAsia" w:ascii="宋体" w:hAnsi="宋体"/>
              </w:rPr>
              <w:t xml:space="preserve"> 波纹管加金属编织网套，管体及网套材质应为不锈钢304。</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7、橡胶软接头</w:t>
            </w: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w:t>
            </w:r>
            <w:r>
              <w:rPr>
                <w:rFonts w:hint="eastAsia" w:ascii="宋体" w:hAnsi="宋体"/>
              </w:rPr>
              <w:t>注册资本不得少于1000万人民币。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1.公称压力大于各系统设计要求的试验压力。符合国家或行业的生产技术标准。</w:t>
            </w:r>
          </w:p>
          <w:p>
            <w:pPr>
              <w:spacing w:line="300" w:lineRule="auto"/>
              <w:rPr>
                <w:rFonts w:ascii="宋体" w:hAnsi="宋体"/>
                <w:szCs w:val="21"/>
              </w:rPr>
            </w:pPr>
            <w:r>
              <w:rPr>
                <w:rFonts w:hint="eastAsia" w:ascii="宋体" w:hAnsi="宋体"/>
                <w:szCs w:val="21"/>
              </w:rPr>
              <w:t>2.符合设计及有关规范要求。外观良好。材质优良、机械加工精度高</w:t>
            </w:r>
            <w:r>
              <w:rPr>
                <w:rFonts w:ascii="宋体" w:hAnsi="宋体"/>
                <w:szCs w:val="21"/>
              </w:rPr>
              <w:t xml:space="preserve">。强度大，弹性好、抗疲劳度高 </w:t>
            </w:r>
            <w:r>
              <w:rPr>
                <w:rFonts w:hint="eastAsia" w:ascii="宋体" w:hAnsi="宋体"/>
                <w:szCs w:val="21"/>
              </w:rPr>
              <w:t>。</w:t>
            </w:r>
          </w:p>
          <w:p>
            <w:pPr>
              <w:spacing w:line="300" w:lineRule="auto"/>
              <w:rPr>
                <w:rFonts w:ascii="宋体" w:hAnsi="宋体"/>
                <w:szCs w:val="21"/>
              </w:rPr>
            </w:pPr>
            <w:r>
              <w:rPr>
                <w:rFonts w:hint="eastAsia" w:ascii="宋体" w:hAnsi="宋体"/>
                <w:szCs w:val="21"/>
              </w:rPr>
              <w:t>3.材料：</w:t>
            </w:r>
          </w:p>
          <w:p>
            <w:pPr>
              <w:spacing w:line="300" w:lineRule="auto"/>
              <w:rPr>
                <w:rFonts w:ascii="宋体" w:hAnsi="宋体"/>
                <w:szCs w:val="21"/>
              </w:rPr>
            </w:pPr>
            <w:r>
              <w:rPr>
                <w:rFonts w:hint="eastAsia" w:ascii="宋体" w:hAnsi="宋体"/>
                <w:szCs w:val="21"/>
              </w:rPr>
              <w:t>1）主体：优质极性橡胶。</w:t>
            </w:r>
          </w:p>
          <w:p>
            <w:pPr>
              <w:spacing w:line="300" w:lineRule="auto"/>
              <w:rPr>
                <w:rFonts w:ascii="宋体" w:hAnsi="宋体"/>
                <w:szCs w:val="21"/>
              </w:rPr>
            </w:pPr>
            <w:r>
              <w:rPr>
                <w:rFonts w:hint="eastAsia" w:ascii="宋体" w:hAnsi="宋体"/>
                <w:szCs w:val="21"/>
              </w:rPr>
              <w:t>2）内衬：尼龙帘布。</w:t>
            </w:r>
          </w:p>
          <w:p>
            <w:pPr>
              <w:spacing w:line="300" w:lineRule="auto"/>
              <w:rPr>
                <w:rFonts w:ascii="宋体" w:hAnsi="宋体"/>
                <w:szCs w:val="21"/>
              </w:rPr>
            </w:pPr>
            <w:r>
              <w:rPr>
                <w:rFonts w:hint="eastAsia" w:ascii="宋体" w:hAnsi="宋体"/>
                <w:szCs w:val="21"/>
              </w:rPr>
              <w:t>3）骨架：优质硬钢丝。</w:t>
            </w:r>
          </w:p>
          <w:p>
            <w:pPr>
              <w:spacing w:line="300" w:lineRule="auto"/>
              <w:rPr>
                <w:rFonts w:ascii="宋体" w:hAnsi="宋体"/>
                <w:szCs w:val="21"/>
              </w:rPr>
            </w:pPr>
            <w:r>
              <w:rPr>
                <w:rFonts w:hint="eastAsia" w:ascii="宋体" w:hAnsi="宋体"/>
                <w:szCs w:val="21"/>
              </w:rPr>
              <w:t>4）法兰：优质碳钢。</w:t>
            </w:r>
          </w:p>
          <w:p>
            <w:pPr>
              <w:spacing w:line="300" w:lineRule="auto"/>
              <w:rPr>
                <w:rFonts w:ascii="宋体" w:hAnsi="宋体"/>
                <w:szCs w:val="21"/>
              </w:rPr>
            </w:pPr>
            <w:r>
              <w:rPr>
                <w:rFonts w:hint="eastAsia" w:ascii="宋体" w:hAnsi="宋体"/>
                <w:szCs w:val="21"/>
              </w:rPr>
              <w:t>5）偏转角度不小于15度。</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8、风阀</w:t>
            </w:r>
          </w:p>
          <w:p>
            <w:pPr>
              <w:spacing w:line="300" w:lineRule="auto"/>
              <w:rPr>
                <w:rFonts w:ascii="宋体" w:hAnsi="宋体"/>
                <w:szCs w:val="21"/>
              </w:rPr>
            </w:pPr>
            <w:r>
              <w:rPr>
                <w:rFonts w:hint="eastAsia" w:ascii="宋体" w:hAnsi="宋体"/>
                <w:szCs w:val="21"/>
              </w:rPr>
              <w:t>防火阀（常开）</w:t>
            </w:r>
          </w:p>
          <w:p>
            <w:pPr>
              <w:spacing w:line="300" w:lineRule="auto"/>
              <w:rPr>
                <w:rFonts w:ascii="宋体" w:hAnsi="宋体"/>
                <w:szCs w:val="21"/>
              </w:rPr>
            </w:pPr>
            <w:r>
              <w:rPr>
                <w:rFonts w:hint="eastAsia" w:ascii="宋体" w:hAnsi="宋体"/>
                <w:szCs w:val="21"/>
              </w:rPr>
              <w:t>防火阀（常闭）</w:t>
            </w:r>
          </w:p>
          <w:p>
            <w:pPr>
              <w:spacing w:line="300" w:lineRule="auto"/>
              <w:rPr>
                <w:rFonts w:ascii="宋体" w:hAnsi="宋体"/>
                <w:szCs w:val="21"/>
              </w:rPr>
            </w:pPr>
            <w:r>
              <w:rPr>
                <w:rFonts w:hint="eastAsia" w:ascii="宋体" w:hAnsi="宋体"/>
                <w:szCs w:val="21"/>
              </w:rPr>
              <w:t>电动防火阀</w:t>
            </w:r>
          </w:p>
          <w:p>
            <w:pPr>
              <w:spacing w:line="300" w:lineRule="auto"/>
              <w:rPr>
                <w:rFonts w:ascii="宋体" w:hAnsi="宋体"/>
                <w:szCs w:val="21"/>
              </w:rPr>
            </w:pPr>
            <w:r>
              <w:rPr>
                <w:rFonts w:hint="eastAsia" w:ascii="宋体" w:hAnsi="宋体"/>
                <w:szCs w:val="21"/>
              </w:rPr>
              <w:t>自动复位防火阀</w:t>
            </w:r>
          </w:p>
          <w:p>
            <w:pPr>
              <w:spacing w:line="300" w:lineRule="auto"/>
              <w:rPr>
                <w:rFonts w:ascii="宋体" w:hAnsi="宋体"/>
                <w:szCs w:val="21"/>
              </w:rPr>
            </w:pPr>
            <w:r>
              <w:rPr>
                <w:rFonts w:hint="eastAsia" w:ascii="宋体" w:hAnsi="宋体"/>
                <w:szCs w:val="21"/>
              </w:rPr>
              <w:t>防火调节阀</w:t>
            </w:r>
          </w:p>
          <w:p>
            <w:pPr>
              <w:spacing w:line="300" w:lineRule="auto"/>
              <w:rPr>
                <w:rFonts w:ascii="宋体" w:hAnsi="宋体"/>
                <w:szCs w:val="21"/>
              </w:rPr>
            </w:pPr>
            <w:r>
              <w:rPr>
                <w:rFonts w:hint="eastAsia" w:ascii="宋体" w:hAnsi="宋体"/>
                <w:szCs w:val="21"/>
              </w:rPr>
              <w:t>手动风量调节阀</w:t>
            </w:r>
          </w:p>
          <w:p>
            <w:pPr>
              <w:spacing w:line="300" w:lineRule="auto"/>
              <w:rPr>
                <w:rFonts w:ascii="宋体" w:hAnsi="宋体"/>
                <w:szCs w:val="21"/>
              </w:rPr>
            </w:pPr>
            <w:r>
              <w:rPr>
                <w:rFonts w:hint="eastAsia" w:ascii="宋体" w:hAnsi="宋体"/>
                <w:szCs w:val="21"/>
              </w:rPr>
              <w:t>电动风量调节阀</w:t>
            </w:r>
          </w:p>
          <w:p>
            <w:pPr>
              <w:spacing w:line="300" w:lineRule="auto"/>
              <w:rPr>
                <w:rFonts w:ascii="宋体" w:hAnsi="宋体"/>
                <w:szCs w:val="21"/>
              </w:rPr>
            </w:pPr>
            <w:r>
              <w:rPr>
                <w:rFonts w:hint="eastAsia" w:ascii="宋体" w:hAnsi="宋体"/>
                <w:szCs w:val="21"/>
              </w:rPr>
              <w:t>风管止回阀</w:t>
            </w:r>
          </w:p>
          <w:p>
            <w:pPr>
              <w:spacing w:line="300" w:lineRule="auto"/>
              <w:rPr>
                <w:rFonts w:ascii="宋体" w:hAnsi="宋体"/>
                <w:szCs w:val="21"/>
              </w:rPr>
            </w:pPr>
            <w:r>
              <w:rPr>
                <w:rFonts w:hint="eastAsia" w:ascii="宋体" w:hAnsi="宋体"/>
                <w:szCs w:val="21"/>
              </w:rPr>
              <w:t>自重式风管止回阀</w:t>
            </w: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w:t>
            </w:r>
            <w:r>
              <w:rPr>
                <w:rFonts w:hint="eastAsia" w:ascii="宋体" w:hAnsi="宋体"/>
              </w:rPr>
              <w:t>注册资本不得少于500万人民币。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1.阀门型号、规格、耐压强度和严密性试验结果符合设计及有关规范、标准要求；</w:t>
            </w:r>
          </w:p>
          <w:p>
            <w:pPr>
              <w:spacing w:line="300" w:lineRule="auto"/>
              <w:rPr>
                <w:rFonts w:ascii="宋体" w:hAnsi="宋体"/>
                <w:szCs w:val="21"/>
              </w:rPr>
            </w:pPr>
            <w:r>
              <w:rPr>
                <w:rFonts w:hint="eastAsia" w:ascii="宋体" w:hAnsi="宋体"/>
                <w:szCs w:val="21"/>
              </w:rPr>
              <w:t>2.阀门应制作牢固，叶片启闭应灵活，并标明阀门启闭方向和调节角度；</w:t>
            </w:r>
          </w:p>
          <w:p>
            <w:pPr>
              <w:spacing w:line="300" w:lineRule="auto"/>
              <w:rPr>
                <w:rFonts w:ascii="宋体" w:hAnsi="宋体"/>
                <w:szCs w:val="21"/>
              </w:rPr>
            </w:pPr>
            <w:r>
              <w:rPr>
                <w:rFonts w:hint="eastAsia" w:ascii="宋体" w:hAnsi="宋体"/>
                <w:szCs w:val="21"/>
              </w:rPr>
              <w:t>3.采用优质钢板制作，外框板厚不小于2mm，叶片板厚不小于1.5mm；</w:t>
            </w:r>
          </w:p>
          <w:p>
            <w:pPr>
              <w:spacing w:line="300" w:lineRule="auto"/>
              <w:rPr>
                <w:rFonts w:ascii="宋体" w:hAnsi="宋体"/>
                <w:szCs w:val="21"/>
              </w:rPr>
            </w:pPr>
            <w:r>
              <w:rPr>
                <w:rFonts w:hint="eastAsia" w:ascii="宋体" w:hAnsi="宋体"/>
                <w:szCs w:val="21"/>
              </w:rPr>
              <w:t>4.多叶阀叶片应能贴合，间距均匀，搭接一致。轴与轴之间的距离偏差应小于2mm；</w:t>
            </w:r>
          </w:p>
          <w:p>
            <w:pPr>
              <w:spacing w:line="300" w:lineRule="auto"/>
              <w:rPr>
                <w:rFonts w:ascii="宋体" w:hAnsi="宋体"/>
                <w:szCs w:val="21"/>
              </w:rPr>
            </w:pPr>
            <w:r>
              <w:rPr>
                <w:rFonts w:hint="eastAsia" w:ascii="宋体" w:hAnsi="宋体"/>
                <w:szCs w:val="21"/>
              </w:rPr>
              <w:t>5.截面大于1.2平方米的风阀应实施分组调节；</w:t>
            </w:r>
          </w:p>
          <w:p>
            <w:pPr>
              <w:spacing w:line="300" w:lineRule="auto"/>
              <w:rPr>
                <w:rFonts w:ascii="宋体" w:hAnsi="宋体"/>
                <w:szCs w:val="21"/>
              </w:rPr>
            </w:pPr>
            <w:r>
              <w:rPr>
                <w:rFonts w:hint="eastAsia" w:ascii="宋体" w:hAnsi="宋体"/>
                <w:szCs w:val="21"/>
              </w:rPr>
              <w:t>6.风量调节阀、风管防火阀：提供产品检验合格证，风管防火阀提供国家消防部门产品认证。提供在不同的阻力、风速（5m/s、8 m/s、10m/s）下的噪声值及每平方米漏风量的检测报告，检测数据须符合设计要求。输出关闭信号，联锁风柜或风机。手动调节阀门开启角度。全开时阻力系数＜0.4。耐火时间不低于1.5h。</w:t>
            </w:r>
          </w:p>
          <w:p>
            <w:pPr>
              <w:spacing w:line="300" w:lineRule="auto"/>
              <w:rPr>
                <w:rFonts w:ascii="宋体" w:hAnsi="宋体"/>
                <w:szCs w:val="21"/>
              </w:rPr>
            </w:pPr>
            <w:r>
              <w:rPr>
                <w:rFonts w:hint="eastAsia" w:ascii="宋体" w:hAnsi="宋体"/>
                <w:szCs w:val="21"/>
              </w:rPr>
              <w:t>7.止回阀的阀轴灵活，阀板关闭严密，转轴、铰链应采用不易锈蚀的材料制作，阀片的强度应保证在最大负荷压力下不弯曲变形。要求密闭性能好、结构牢固且采用弹簧闭合式方式。提供在不同的阻力、风速（5m/s、8m/s）下的噪声值及每平方米漏风量的检测报告，检测数据须符合设计要求。</w:t>
            </w:r>
          </w:p>
          <w:p>
            <w:pPr>
              <w:spacing w:line="300" w:lineRule="auto"/>
              <w:rPr>
                <w:rFonts w:ascii="宋体" w:hAnsi="宋体"/>
                <w:szCs w:val="21"/>
              </w:rPr>
            </w:pPr>
            <w:r>
              <w:rPr>
                <w:rFonts w:hint="eastAsia" w:ascii="宋体" w:hAnsi="宋体"/>
                <w:szCs w:val="21"/>
              </w:rPr>
              <w:t>8. 电动或气动调节风阀的执行机构及联动装置的动作应可靠，其调节范围及指示角度应与阀板开启角度相一致。</w:t>
            </w:r>
            <w:r>
              <w:rPr>
                <w:rFonts w:hint="eastAsia" w:ascii="宋体" w:hAnsi="宋体"/>
              </w:rPr>
              <w:t>电动启闭阀、电动调节阀执行机构及联动装置动作可靠，调节范围为0%～100%模拟调节；调节指示角度与阀板开启角度一致；接受BA系统0～10V或4～20mA 的模拟控制信号。执行机构扭矩自行计算。</w:t>
            </w:r>
            <w:r>
              <w:rPr>
                <w:rFonts w:hint="eastAsia" w:ascii="宋体" w:hAnsi="宋体"/>
                <w:szCs w:val="21"/>
              </w:rPr>
              <w:t>阀门全开时阻力系数＜0.4。耐火时间不低于1.5h。电动风阀均采用气密性风阀，气密性要求为：风阀前后压差≥</w:t>
            </w:r>
            <w:r>
              <w:rPr>
                <w:rFonts w:ascii="宋体" w:hAnsi="宋体"/>
                <w:szCs w:val="21"/>
              </w:rPr>
              <w:t>300Pa</w:t>
            </w:r>
            <w:r>
              <w:rPr>
                <w:rFonts w:hint="eastAsia" w:ascii="宋体" w:hAnsi="宋体"/>
                <w:szCs w:val="21"/>
              </w:rPr>
              <w:t>时，漏风量≤</w:t>
            </w:r>
            <w:r>
              <w:rPr>
                <w:rFonts w:ascii="宋体" w:hAnsi="宋体"/>
                <w:szCs w:val="21"/>
              </w:rPr>
              <w:t>220m</w:t>
            </w:r>
            <w:r>
              <w:rPr>
                <w:rFonts w:hint="eastAsia" w:ascii="宋体" w:hAnsi="宋体"/>
                <w:szCs w:val="21"/>
              </w:rPr>
              <w:t>³</w:t>
            </w:r>
            <w:r>
              <w:rPr>
                <w:rFonts w:ascii="宋体" w:hAnsi="宋体"/>
                <w:szCs w:val="21"/>
              </w:rPr>
              <w:t>/</w:t>
            </w:r>
            <w:r>
              <w:rPr>
                <w:rFonts w:hint="eastAsia" w:ascii="宋体" w:hAnsi="宋体"/>
                <w:szCs w:val="21"/>
              </w:rPr>
              <w:t>（</w:t>
            </w:r>
            <w:r>
              <w:rPr>
                <w:rFonts w:ascii="宋体" w:hAnsi="宋体"/>
                <w:szCs w:val="21"/>
              </w:rPr>
              <w:t>m</w:t>
            </w:r>
            <w:r>
              <w:rPr>
                <w:rFonts w:hint="eastAsia" w:ascii="宋体" w:hAnsi="宋体"/>
                <w:szCs w:val="21"/>
              </w:rPr>
              <w:t>²</w:t>
            </w:r>
            <w:r>
              <w:rPr>
                <w:rFonts w:ascii="宋体" w:hAnsi="宋体"/>
                <w:szCs w:val="21"/>
              </w:rPr>
              <w:t>.h</w:t>
            </w:r>
            <w:r>
              <w:rPr>
                <w:rFonts w:hint="eastAsia" w:ascii="宋体" w:hAnsi="宋体"/>
                <w:szCs w:val="21"/>
              </w:rPr>
              <w:t>）。</w:t>
            </w:r>
          </w:p>
          <w:p>
            <w:pPr>
              <w:spacing w:line="300" w:lineRule="auto"/>
              <w:rPr>
                <w:rFonts w:ascii="宋体" w:hAnsi="宋体"/>
                <w:szCs w:val="21"/>
              </w:rPr>
            </w:pPr>
            <w:r>
              <w:rPr>
                <w:rFonts w:hint="eastAsia" w:ascii="宋体" w:hAnsi="宋体"/>
                <w:szCs w:val="21"/>
              </w:rPr>
              <w:t>9．若连续型调节的风阀执行机构档次不低于SIEMENS、JOHNSON、HONYWEL、BELIMO等国际知名品牌。</w:t>
            </w:r>
          </w:p>
        </w:tc>
        <w:tc>
          <w:tcPr>
            <w:tcW w:w="1686" w:type="dxa"/>
          </w:tcPr>
          <w:p>
            <w:pPr>
              <w:adjustRightInd w:val="0"/>
              <w:snapToGrid w:val="0"/>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rPr>
                <w:rFonts w:ascii="宋体" w:hAnsi="宋体"/>
                <w:szCs w:val="21"/>
              </w:rPr>
            </w:pPr>
            <w:r>
              <w:rPr>
                <w:rFonts w:hint="eastAsia" w:ascii="宋体" w:hAnsi="宋体"/>
                <w:szCs w:val="21"/>
              </w:rPr>
              <w:t>9、分体式空调机组</w:t>
            </w:r>
          </w:p>
        </w:tc>
        <w:tc>
          <w:tcPr>
            <w:tcW w:w="5990" w:type="dxa"/>
          </w:tcPr>
          <w:p>
            <w:pPr>
              <w:spacing w:line="300" w:lineRule="auto"/>
              <w:rPr>
                <w:rFonts w:ascii="宋体" w:hAnsi="宋体"/>
                <w:szCs w:val="21"/>
              </w:rPr>
            </w:pPr>
            <w:r>
              <w:rPr>
                <w:rFonts w:hint="eastAsia" w:ascii="宋体" w:hAnsi="宋体"/>
                <w:szCs w:val="21"/>
              </w:rPr>
              <w:t>商务要求：</w:t>
            </w:r>
          </w:p>
          <w:p>
            <w:pPr>
              <w:spacing w:line="300" w:lineRule="auto"/>
              <w:rPr>
                <w:rFonts w:ascii="宋体" w:hAnsi="宋体"/>
                <w:szCs w:val="21"/>
              </w:rPr>
            </w:pPr>
            <w:r>
              <w:rPr>
                <w:rFonts w:hint="eastAsia" w:ascii="宋体" w:hAnsi="宋体"/>
                <w:szCs w:val="21"/>
              </w:rPr>
              <w:t>1、</w:t>
            </w:r>
            <w:r>
              <w:rPr>
                <w:rFonts w:ascii="宋体" w:hAnsi="宋体"/>
              </w:rPr>
              <w:t>注册资本不得少于</w:t>
            </w:r>
            <w:r>
              <w:rPr>
                <w:rFonts w:hint="eastAsia" w:ascii="宋体" w:hAnsi="宋体"/>
              </w:rPr>
              <w:t>5</w:t>
            </w:r>
            <w:r>
              <w:rPr>
                <w:rFonts w:ascii="宋体" w:hAnsi="宋体"/>
              </w:rPr>
              <w:t>000万人民币</w:t>
            </w:r>
            <w:r>
              <w:rPr>
                <w:rFonts w:hint="eastAsia" w:ascii="宋体" w:hAnsi="宋体"/>
                <w:szCs w:val="21"/>
              </w:rPr>
              <w:t>；</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szCs w:val="21"/>
              </w:rPr>
            </w:pPr>
            <w:r>
              <w:rPr>
                <w:rFonts w:hint="eastAsia" w:ascii="宋体" w:hAnsi="宋体"/>
                <w:szCs w:val="21"/>
              </w:rPr>
              <w:t>技术要求：</w:t>
            </w:r>
          </w:p>
          <w:p>
            <w:pPr>
              <w:spacing w:line="300" w:lineRule="auto"/>
              <w:rPr>
                <w:rFonts w:ascii="宋体" w:hAnsi="宋体"/>
                <w:szCs w:val="21"/>
              </w:rPr>
            </w:pPr>
            <w:r>
              <w:rPr>
                <w:rFonts w:hint="eastAsia" w:ascii="宋体" w:hAnsi="宋体"/>
                <w:szCs w:val="21"/>
              </w:rPr>
              <w:t>1. 机组在运行时所产生的噪音应满足设计噪音标准且必须低于当地环保处所订出的限制；</w:t>
            </w:r>
          </w:p>
          <w:p>
            <w:pPr>
              <w:spacing w:line="300" w:lineRule="auto"/>
              <w:rPr>
                <w:rFonts w:ascii="宋体" w:hAnsi="宋体"/>
                <w:szCs w:val="21"/>
              </w:rPr>
            </w:pPr>
            <w:r>
              <w:rPr>
                <w:rFonts w:hint="eastAsia" w:ascii="宋体" w:hAnsi="宋体"/>
                <w:szCs w:val="21"/>
              </w:rPr>
              <w:t>2. 每台机组须附有原厂的标志牌，标明厂家的名称、设备的编号、型号及有关的技术数据；</w:t>
            </w:r>
          </w:p>
          <w:p>
            <w:pPr>
              <w:spacing w:line="300" w:lineRule="auto"/>
              <w:rPr>
                <w:rFonts w:ascii="宋体" w:hAnsi="宋体"/>
                <w:szCs w:val="21"/>
              </w:rPr>
            </w:pPr>
            <w:r>
              <w:rPr>
                <w:rFonts w:hint="eastAsia" w:ascii="宋体" w:hAnsi="宋体"/>
                <w:szCs w:val="21"/>
              </w:rPr>
              <w:t>3. 每台机组配有由原厂提供的温度及速度控制板和遥控感应装置；</w:t>
            </w:r>
          </w:p>
          <w:p>
            <w:pPr>
              <w:spacing w:line="300" w:lineRule="auto"/>
              <w:rPr>
                <w:rFonts w:ascii="宋体" w:hAnsi="宋体"/>
                <w:szCs w:val="21"/>
              </w:rPr>
            </w:pPr>
            <w:r>
              <w:rPr>
                <w:rFonts w:hint="eastAsia" w:ascii="宋体" w:hAnsi="宋体"/>
                <w:szCs w:val="21"/>
              </w:rPr>
              <w:t>4. 制冷系统各部分不应有制冷剂泄露，其实测制冷量不小于名义制冷量的92%，实测制冷消耗功不大于名义制冷消耗功率的110%；</w:t>
            </w:r>
          </w:p>
          <w:p>
            <w:pPr>
              <w:spacing w:line="300" w:lineRule="auto"/>
              <w:rPr>
                <w:rFonts w:ascii="宋体" w:hAnsi="宋体"/>
                <w:szCs w:val="21"/>
              </w:rPr>
            </w:pPr>
            <w:r>
              <w:rPr>
                <w:rFonts w:hint="eastAsia" w:ascii="宋体" w:hAnsi="宋体"/>
                <w:szCs w:val="21"/>
              </w:rPr>
              <w:t>5. 分体空调机组能效比满足最新国家节能规范的要求，效能比不低于2级。</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53" w:hRule="atLeast"/>
        </w:trPr>
        <w:tc>
          <w:tcPr>
            <w:tcW w:w="846" w:type="dxa"/>
          </w:tcPr>
          <w:p>
            <w:pPr>
              <w:spacing w:line="300" w:lineRule="auto"/>
              <w:rPr>
                <w:rFonts w:ascii="宋体" w:hAnsi="宋体"/>
                <w:szCs w:val="21"/>
              </w:rPr>
            </w:pPr>
            <w:r>
              <w:rPr>
                <w:rFonts w:hint="eastAsia" w:ascii="宋体" w:hAnsi="宋体"/>
                <w:szCs w:val="21"/>
              </w:rPr>
              <w:t>10、消声器</w:t>
            </w:r>
          </w:p>
          <w:p>
            <w:pPr>
              <w:spacing w:line="300" w:lineRule="auto"/>
              <w:rPr>
                <w:rFonts w:ascii="宋体" w:hAnsi="宋体"/>
                <w:szCs w:val="21"/>
              </w:rPr>
            </w:pPr>
            <w:r>
              <w:rPr>
                <w:rFonts w:hint="eastAsia" w:ascii="宋体" w:hAnsi="宋体"/>
                <w:szCs w:val="21"/>
              </w:rPr>
              <w:t>静压箱</w:t>
            </w: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1、注册资本不得少于500万人民币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1.每个消声设备须附有详细标明厂家的名称、设备的型号和标号及正常的气流方向指示的标志铭牌；</w:t>
            </w:r>
          </w:p>
          <w:p>
            <w:pPr>
              <w:spacing w:line="300" w:lineRule="auto"/>
              <w:rPr>
                <w:rFonts w:ascii="宋体" w:hAnsi="宋体"/>
                <w:szCs w:val="21"/>
              </w:rPr>
            </w:pPr>
            <w:r>
              <w:rPr>
                <w:rFonts w:hint="eastAsia" w:ascii="宋体" w:hAnsi="宋体"/>
                <w:szCs w:val="21"/>
              </w:rPr>
              <w:t>2.所有消声设备应有不可燃的材料制成并能满足当地消防局的要求；</w:t>
            </w:r>
          </w:p>
          <w:p>
            <w:pPr>
              <w:spacing w:line="300" w:lineRule="auto"/>
              <w:rPr>
                <w:rFonts w:ascii="宋体" w:hAnsi="宋体"/>
                <w:szCs w:val="21"/>
              </w:rPr>
            </w:pPr>
            <w:r>
              <w:rPr>
                <w:rFonts w:hint="eastAsia" w:ascii="宋体" w:hAnsi="宋体"/>
                <w:szCs w:val="21"/>
              </w:rPr>
              <w:t>3.内外壳采用优质镀锌钢板制作，外壳厚度不小于1.2mm；内衬镀锌穿孔板厚度不小于0.75 mm，穿孔孔径和穿孔率应符合设计要求。内外表面应平整，孔眼排列均匀，不得有毛刺；</w:t>
            </w:r>
          </w:p>
          <w:p>
            <w:pPr>
              <w:spacing w:line="300" w:lineRule="auto"/>
              <w:rPr>
                <w:rFonts w:ascii="宋体" w:hAnsi="宋体"/>
                <w:szCs w:val="21"/>
              </w:rPr>
            </w:pPr>
            <w:r>
              <w:rPr>
                <w:rFonts w:hint="eastAsia" w:ascii="宋体" w:hAnsi="宋体"/>
                <w:szCs w:val="21"/>
              </w:rPr>
              <w:t>4.所选用的消声材料应符合设计规定的防火、防腐、防潮及卫生要求；填充的消声材料应按规定的密度均匀铺设，有防止下沉的措施，覆面层应均匀拉紧并有保护措施；</w:t>
            </w:r>
          </w:p>
          <w:p>
            <w:pPr>
              <w:spacing w:line="300" w:lineRule="auto"/>
              <w:rPr>
                <w:rFonts w:ascii="宋体" w:hAnsi="宋体"/>
                <w:szCs w:val="21"/>
              </w:rPr>
            </w:pPr>
            <w:r>
              <w:rPr>
                <w:rFonts w:hint="eastAsia" w:ascii="宋体" w:hAnsi="宋体"/>
                <w:szCs w:val="21"/>
              </w:rPr>
              <w:t>5.具有足够的整体强度，不变形、不漏风。</w:t>
            </w:r>
          </w:p>
          <w:p>
            <w:pPr>
              <w:spacing w:line="300" w:lineRule="auto"/>
              <w:rPr>
                <w:rFonts w:ascii="宋体" w:hAnsi="宋体"/>
                <w:szCs w:val="21"/>
              </w:rPr>
            </w:pPr>
            <w:r>
              <w:rPr>
                <w:rFonts w:hint="eastAsia" w:ascii="宋体" w:hAnsi="宋体"/>
                <w:szCs w:val="21"/>
              </w:rPr>
              <w:t>6.镀锌金属板的切割面和焊接点均须涂上高锌漆料；</w:t>
            </w:r>
          </w:p>
          <w:p>
            <w:pPr>
              <w:spacing w:line="300" w:lineRule="auto"/>
              <w:rPr>
                <w:rFonts w:ascii="宋体" w:hAnsi="宋体"/>
                <w:szCs w:val="21"/>
              </w:rPr>
            </w:pPr>
            <w:r>
              <w:rPr>
                <w:rFonts w:hint="eastAsia" w:ascii="宋体" w:hAnsi="宋体"/>
                <w:szCs w:val="21"/>
              </w:rPr>
              <w:t>7.应用于室外的消声器须完全防风雨及经过防腐蚀处理。</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87" w:hRule="atLeast"/>
        </w:trPr>
        <w:tc>
          <w:tcPr>
            <w:tcW w:w="846" w:type="dxa"/>
          </w:tcPr>
          <w:p>
            <w:pPr>
              <w:spacing w:line="300" w:lineRule="auto"/>
              <w:rPr>
                <w:rFonts w:ascii="宋体" w:hAnsi="宋体"/>
                <w:szCs w:val="21"/>
              </w:rPr>
            </w:pPr>
            <w:r>
              <w:rPr>
                <w:rFonts w:hint="eastAsia" w:ascii="宋体" w:hAnsi="宋体"/>
                <w:szCs w:val="21"/>
              </w:rPr>
              <w:t>11、温度、压力仪表</w:t>
            </w:r>
          </w:p>
        </w:tc>
        <w:tc>
          <w:tcPr>
            <w:tcW w:w="5990" w:type="dxa"/>
          </w:tcPr>
          <w:p>
            <w:pPr>
              <w:spacing w:line="300" w:lineRule="auto"/>
              <w:rPr>
                <w:rFonts w:ascii="宋体" w:hAnsi="宋体"/>
                <w:szCs w:val="21"/>
              </w:rPr>
            </w:pPr>
            <w:r>
              <w:rPr>
                <w:rFonts w:hint="eastAsia" w:ascii="宋体" w:hAnsi="宋体"/>
                <w:szCs w:val="21"/>
              </w:rPr>
              <w:t>国产名优品牌；</w:t>
            </w:r>
          </w:p>
          <w:p>
            <w:pPr>
              <w:spacing w:line="300" w:lineRule="auto"/>
              <w:rPr>
                <w:rFonts w:ascii="宋体" w:hAnsi="宋体"/>
                <w:szCs w:val="21"/>
              </w:rPr>
            </w:pPr>
            <w:r>
              <w:rPr>
                <w:rFonts w:hint="eastAsia" w:ascii="宋体" w:hAnsi="宋体"/>
                <w:szCs w:val="21"/>
              </w:rPr>
              <w:t>符合设计及有关规范、标准要求；</w:t>
            </w:r>
          </w:p>
          <w:p>
            <w:pPr>
              <w:spacing w:line="300" w:lineRule="auto"/>
              <w:rPr>
                <w:rFonts w:ascii="宋体" w:hAnsi="宋体"/>
                <w:szCs w:val="21"/>
              </w:rPr>
            </w:pPr>
            <w:r>
              <w:rPr>
                <w:rFonts w:hint="eastAsia" w:ascii="宋体" w:hAnsi="宋体"/>
                <w:szCs w:val="21"/>
              </w:rPr>
              <w:t>温度计应采用适当长度、探温刻度符合系统操作要求及以红色读数显示的水银温度计。直身型不锈钢外壳连玻璃面板，并配有不锈钢管道温度探测井；</w:t>
            </w:r>
          </w:p>
          <w:p>
            <w:pPr>
              <w:spacing w:line="300" w:lineRule="auto"/>
              <w:rPr>
                <w:rFonts w:ascii="宋体" w:hAnsi="宋体"/>
                <w:szCs w:val="21"/>
              </w:rPr>
            </w:pPr>
            <w:r>
              <w:rPr>
                <w:rFonts w:hint="eastAsia" w:ascii="宋体" w:hAnsi="宋体"/>
                <w:szCs w:val="21"/>
              </w:rPr>
              <w:t>压力仪表应采用直径100毫米配以黑色铁外壳、外带镀铬铜环合厚玻璃面板、青铜弹簧感应器、精密的移动和测微调节。须同时提供适合有关系统工作压力的脉冲缓冲器、钢管配件及铜制针状球型截止阀；</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46" w:type="dxa"/>
          </w:tcPr>
          <w:p>
            <w:pPr>
              <w:spacing w:line="300" w:lineRule="auto"/>
              <w:jc w:val="center"/>
              <w:rPr>
                <w:rFonts w:ascii="宋体" w:hAnsi="宋体"/>
                <w:szCs w:val="21"/>
              </w:rPr>
            </w:pPr>
            <w:r>
              <w:rPr>
                <w:rFonts w:hint="eastAsia" w:ascii="宋体" w:hAnsi="宋体"/>
                <w:szCs w:val="21"/>
              </w:rPr>
              <w:t>12、风口</w:t>
            </w:r>
          </w:p>
          <w:p>
            <w:pPr>
              <w:spacing w:line="300" w:lineRule="auto"/>
              <w:rPr>
                <w:rFonts w:ascii="宋体" w:hAnsi="宋体"/>
                <w:szCs w:val="21"/>
              </w:rPr>
            </w:pPr>
            <w:r>
              <w:rPr>
                <w:rFonts w:hint="eastAsia" w:ascii="宋体" w:hAnsi="宋体"/>
                <w:szCs w:val="21"/>
              </w:rPr>
              <w:t>（百叶送回风口）</w:t>
            </w:r>
          </w:p>
          <w:p>
            <w:pPr>
              <w:spacing w:line="300" w:lineRule="auto"/>
              <w:rPr>
                <w:rFonts w:ascii="宋体" w:hAnsi="宋体"/>
                <w:szCs w:val="21"/>
              </w:rPr>
            </w:pPr>
            <w:r>
              <w:rPr>
                <w:rFonts w:hint="eastAsia" w:ascii="宋体" w:hAnsi="宋体"/>
                <w:szCs w:val="21"/>
              </w:rPr>
              <w:t>（散流器）</w:t>
            </w: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spacing w:line="300" w:lineRule="auto"/>
              <w:rPr>
                <w:rFonts w:ascii="宋体" w:hAnsi="宋体"/>
                <w:szCs w:val="21"/>
              </w:rPr>
            </w:pPr>
            <w:r>
              <w:rPr>
                <w:rFonts w:hint="eastAsia" w:ascii="宋体" w:hAnsi="宋体"/>
                <w:szCs w:val="21"/>
              </w:rPr>
              <w:t>1、国内知名品牌，注册资本不得少于500万人民币；</w:t>
            </w:r>
          </w:p>
          <w:p>
            <w:pPr>
              <w:spacing w:line="300" w:lineRule="auto"/>
              <w:rPr>
                <w:rFonts w:ascii="宋体" w:hAnsi="宋体"/>
                <w:szCs w:val="21"/>
              </w:rPr>
            </w:pPr>
            <w:r>
              <w:rPr>
                <w:rFonts w:hint="eastAsia" w:ascii="宋体" w:hAnsi="宋体"/>
                <w:szCs w:val="21"/>
              </w:rPr>
              <w:t xml:space="preserve">2、设备商必须通过ISO9001:2000系列质量体系认证； </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1.各种形式的风口尺寸应符合设计要求；</w:t>
            </w:r>
          </w:p>
          <w:p>
            <w:pPr>
              <w:spacing w:line="300" w:lineRule="auto"/>
              <w:rPr>
                <w:rFonts w:ascii="宋体" w:hAnsi="宋体"/>
                <w:szCs w:val="21"/>
              </w:rPr>
            </w:pPr>
            <w:r>
              <w:rPr>
                <w:rFonts w:hint="eastAsia" w:ascii="宋体" w:hAnsi="宋体"/>
                <w:szCs w:val="21"/>
              </w:rPr>
              <w:t>2.均采用铝合金材料，表面烤漆处理，颜色与精装饰风格一致；风口产品应选用防腐性能好，易成型的材料制造，采用铝型材时，应符合GB5237</w:t>
            </w:r>
            <w:r>
              <w:rPr>
                <w:rFonts w:ascii="宋体" w:hAnsi="宋体"/>
                <w:szCs w:val="21"/>
              </w:rPr>
              <w:t>-2004</w:t>
            </w:r>
            <w:r>
              <w:rPr>
                <w:rFonts w:hint="eastAsia" w:ascii="宋体" w:hAnsi="宋体"/>
                <w:szCs w:val="21"/>
              </w:rPr>
              <w:t>《&lt;</w:t>
            </w:r>
            <w:r>
              <w:rPr>
                <w:rFonts w:ascii="宋体" w:hAnsi="宋体"/>
                <w:szCs w:val="21"/>
              </w:rPr>
              <w:t>铝合金建筑型材</w:t>
            </w:r>
            <w:r>
              <w:rPr>
                <w:rFonts w:hint="eastAsia" w:ascii="宋体" w:hAnsi="宋体"/>
                <w:szCs w:val="21"/>
              </w:rPr>
              <w:t>&gt;</w:t>
            </w:r>
            <w:r>
              <w:rPr>
                <w:rFonts w:ascii="宋体" w:hAnsi="宋体"/>
                <w:szCs w:val="21"/>
              </w:rPr>
              <w:t>实施指南</w:t>
            </w:r>
            <w:r>
              <w:rPr>
                <w:rFonts w:hint="eastAsia" w:ascii="宋体" w:hAnsi="宋体"/>
                <w:szCs w:val="21"/>
              </w:rPr>
              <w:t>》的规定；</w:t>
            </w:r>
          </w:p>
          <w:p>
            <w:pPr>
              <w:spacing w:line="300" w:lineRule="auto"/>
              <w:rPr>
                <w:rFonts w:ascii="宋体" w:hAnsi="宋体"/>
                <w:szCs w:val="21"/>
              </w:rPr>
            </w:pPr>
            <w:r>
              <w:rPr>
                <w:rFonts w:hint="eastAsia" w:ascii="宋体" w:hAnsi="宋体"/>
                <w:szCs w:val="21"/>
              </w:rPr>
              <w:t>3.各类风口的外框及导风叶片的材料厚度不得小于1.0mm，装饰面拼接严密平整，焊接牢固，焊点光滑。风口的转动调节部分应灵活，叶片应平直，同边框不得碰擦，定位后应无松动现象；</w:t>
            </w:r>
          </w:p>
          <w:p>
            <w:pPr>
              <w:spacing w:line="300" w:lineRule="auto"/>
              <w:rPr>
                <w:rFonts w:ascii="宋体" w:hAnsi="宋体"/>
                <w:szCs w:val="21"/>
              </w:rPr>
            </w:pPr>
            <w:r>
              <w:rPr>
                <w:rFonts w:hint="eastAsia" w:ascii="宋体" w:hAnsi="宋体"/>
                <w:szCs w:val="21"/>
              </w:rPr>
              <w:t>4.百叶式风口的叶片间距应均匀；双层百叶风口上、下两层叶片应互相垂直，且自带调节阀；</w:t>
            </w:r>
          </w:p>
          <w:p>
            <w:pPr>
              <w:spacing w:line="300" w:lineRule="auto"/>
              <w:rPr>
                <w:rFonts w:ascii="宋体" w:hAnsi="宋体"/>
                <w:szCs w:val="21"/>
              </w:rPr>
            </w:pPr>
            <w:r>
              <w:rPr>
                <w:rFonts w:hint="eastAsia" w:ascii="宋体" w:hAnsi="宋体"/>
                <w:szCs w:val="21"/>
              </w:rPr>
              <w:t>5.散流器的扩散环和调节环应同轴，径向间距分布应均匀；</w:t>
            </w:r>
          </w:p>
          <w:p>
            <w:pPr>
              <w:spacing w:line="300" w:lineRule="auto"/>
              <w:rPr>
                <w:rFonts w:ascii="宋体" w:hAnsi="宋体"/>
                <w:szCs w:val="21"/>
              </w:rPr>
            </w:pPr>
            <w:r>
              <w:rPr>
                <w:rFonts w:hint="eastAsia" w:ascii="宋体" w:hAnsi="宋体"/>
                <w:szCs w:val="21"/>
              </w:rPr>
              <w:t xml:space="preserve">6.门铰式单层百叶回风口应自带NF尼龙双层过滤网，叶芯与外框用门铰连接，安装后可任意打开叶芯组件，更换风口过滤器。 </w:t>
            </w:r>
          </w:p>
          <w:p>
            <w:pPr>
              <w:spacing w:line="300" w:lineRule="auto"/>
              <w:rPr>
                <w:rFonts w:ascii="宋体" w:hAnsi="宋体"/>
                <w:szCs w:val="21"/>
              </w:rPr>
            </w:pPr>
            <w:r>
              <w:rPr>
                <w:rFonts w:hint="eastAsia" w:ascii="宋体" w:hAnsi="宋体"/>
                <w:szCs w:val="21"/>
              </w:rPr>
              <w:t>7.防雨单层百叶风口应带镀锌铁丝网，采用直径φ2mm，网孔为20 mm。</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2" w:hRule="atLeast"/>
        </w:trPr>
        <w:tc>
          <w:tcPr>
            <w:tcW w:w="846" w:type="dxa"/>
          </w:tcPr>
          <w:p>
            <w:pPr>
              <w:spacing w:line="300" w:lineRule="auto"/>
              <w:rPr>
                <w:rFonts w:ascii="宋体" w:hAnsi="宋体"/>
                <w:szCs w:val="21"/>
              </w:rPr>
            </w:pPr>
            <w:r>
              <w:rPr>
                <w:rFonts w:hint="eastAsia" w:ascii="宋体" w:hAnsi="宋体"/>
                <w:szCs w:val="21"/>
              </w:rPr>
              <w:t>13、玻璃棉保温材料</w:t>
            </w:r>
          </w:p>
        </w:tc>
        <w:tc>
          <w:tcPr>
            <w:tcW w:w="5990" w:type="dxa"/>
          </w:tcPr>
          <w:p>
            <w:pPr>
              <w:spacing w:line="300" w:lineRule="auto"/>
              <w:rPr>
                <w:rFonts w:ascii="宋体" w:hAnsi="宋体"/>
                <w:szCs w:val="21"/>
              </w:rPr>
            </w:pPr>
            <w:r>
              <w:rPr>
                <w:rFonts w:hint="eastAsia" w:ascii="宋体" w:hAnsi="宋体"/>
                <w:szCs w:val="21"/>
              </w:rPr>
              <w:t>商务要求：</w:t>
            </w:r>
          </w:p>
          <w:p>
            <w:pPr>
              <w:spacing w:line="300" w:lineRule="auto"/>
              <w:rPr>
                <w:rFonts w:ascii="宋体" w:hAnsi="宋体"/>
                <w:szCs w:val="21"/>
              </w:rPr>
            </w:pPr>
            <w:r>
              <w:rPr>
                <w:rFonts w:hint="eastAsia" w:ascii="宋体" w:hAnsi="宋体"/>
                <w:szCs w:val="21"/>
              </w:rPr>
              <w:t>1、国内知名品牌，注册资本不得少于1000万人民币；</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szCs w:val="21"/>
              </w:rPr>
            </w:pPr>
            <w:r>
              <w:rPr>
                <w:rFonts w:hint="eastAsia" w:ascii="宋体" w:hAnsi="宋体"/>
                <w:szCs w:val="21"/>
              </w:rPr>
              <w:t>技术要求：</w:t>
            </w:r>
          </w:p>
          <w:p>
            <w:pPr>
              <w:spacing w:line="300" w:lineRule="auto"/>
              <w:rPr>
                <w:rFonts w:ascii="宋体" w:hAnsi="宋体"/>
                <w:szCs w:val="21"/>
              </w:rPr>
            </w:pPr>
            <w:r>
              <w:rPr>
                <w:rFonts w:hint="eastAsia" w:ascii="宋体" w:hAnsi="宋体"/>
                <w:szCs w:val="21"/>
              </w:rPr>
              <w:t>1.符合设计要求及有关规范、标准要求。</w:t>
            </w:r>
          </w:p>
          <w:p>
            <w:pPr>
              <w:spacing w:line="300" w:lineRule="auto"/>
              <w:rPr>
                <w:rFonts w:ascii="宋体" w:hAnsi="宋体"/>
                <w:szCs w:val="21"/>
              </w:rPr>
            </w:pPr>
            <w:r>
              <w:rPr>
                <w:rFonts w:hint="eastAsia" w:ascii="宋体" w:hAnsi="宋体"/>
                <w:szCs w:val="21"/>
              </w:rPr>
              <w:t>2.风管采用带加强型贴面的玻璃棉板。</w:t>
            </w:r>
          </w:p>
          <w:p>
            <w:pPr>
              <w:spacing w:line="300" w:lineRule="auto"/>
              <w:rPr>
                <w:rFonts w:ascii="宋体" w:hAnsi="宋体"/>
                <w:szCs w:val="21"/>
              </w:rPr>
            </w:pPr>
            <w:r>
              <w:rPr>
                <w:rFonts w:hint="eastAsia" w:ascii="宋体" w:hAnsi="宋体"/>
                <w:szCs w:val="21"/>
              </w:rPr>
              <w:t>3.带加强型贴面的玻璃棉板应符合GB</w:t>
            </w:r>
            <w:r>
              <w:rPr>
                <w:rFonts w:ascii="宋体" w:hAnsi="宋体"/>
                <w:szCs w:val="21"/>
              </w:rPr>
              <w:t>5464-</w:t>
            </w:r>
            <w:r>
              <w:rPr>
                <w:rFonts w:hint="eastAsia" w:ascii="宋体" w:hAnsi="宋体"/>
                <w:szCs w:val="21"/>
              </w:rPr>
              <w:t xml:space="preserve">2010 </w:t>
            </w:r>
            <w:r>
              <w:rPr>
                <w:rFonts w:ascii="宋体" w:hAnsi="宋体"/>
                <w:szCs w:val="21"/>
              </w:rPr>
              <w:t>A</w:t>
            </w:r>
            <w:r>
              <w:rPr>
                <w:rFonts w:hint="eastAsia" w:ascii="宋体" w:hAnsi="宋体"/>
                <w:szCs w:val="21"/>
              </w:rPr>
              <w:t>级不燃性标准，导热系数≤0.033W/m ℃，r≥48kg/m3 ，吸湿性≤3%（在温度49℃，相对湿度95%条件下），湿气透过率最大不超过9.75×10-5g/24h.m2,防潮贴面，并且有良好的机械性和抗冲击性能。</w:t>
            </w:r>
          </w:p>
          <w:p>
            <w:pPr>
              <w:spacing w:line="300" w:lineRule="auto"/>
              <w:rPr>
                <w:rFonts w:ascii="宋体" w:hAnsi="宋体"/>
                <w:szCs w:val="21"/>
              </w:rPr>
            </w:pPr>
            <w:r>
              <w:rPr>
                <w:rFonts w:hint="eastAsia" w:ascii="宋体" w:hAnsi="宋体"/>
                <w:szCs w:val="21"/>
              </w:rPr>
              <w:t>4. 所用胶带为原厂配置的不燃性环保铝箔粘胶，宽度为50mm。</w:t>
            </w:r>
          </w:p>
        </w:tc>
        <w:tc>
          <w:tcPr>
            <w:tcW w:w="1686" w:type="dxa"/>
          </w:tcPr>
          <w:p>
            <w:pPr>
              <w:spacing w:line="300" w:lineRule="auto"/>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292" w:hRule="atLeast"/>
        </w:trPr>
        <w:tc>
          <w:tcPr>
            <w:tcW w:w="846" w:type="dxa"/>
          </w:tcPr>
          <w:p>
            <w:pPr>
              <w:spacing w:line="300" w:lineRule="auto"/>
              <w:rPr>
                <w:rFonts w:ascii="宋体" w:hAnsi="宋体"/>
                <w:szCs w:val="21"/>
              </w:rPr>
            </w:pPr>
            <w:r>
              <w:rPr>
                <w:rFonts w:hint="eastAsia" w:ascii="宋体" w:hAnsi="宋体"/>
                <w:szCs w:val="21"/>
              </w:rPr>
              <w:t>14、橡塑保温材料</w:t>
            </w:r>
          </w:p>
          <w:p>
            <w:pPr>
              <w:spacing w:line="300" w:lineRule="auto"/>
              <w:rPr>
                <w:rFonts w:ascii="宋体" w:hAnsi="宋体"/>
                <w:szCs w:val="21"/>
              </w:rPr>
            </w:pPr>
          </w:p>
          <w:p>
            <w:pPr>
              <w:spacing w:line="300" w:lineRule="auto"/>
              <w:rPr>
                <w:rFonts w:ascii="宋体" w:hAnsi="宋体"/>
                <w:szCs w:val="21"/>
              </w:rPr>
            </w:pPr>
          </w:p>
          <w:p>
            <w:pPr>
              <w:spacing w:line="300" w:lineRule="auto"/>
              <w:rPr>
                <w:rFonts w:ascii="宋体" w:hAnsi="宋体"/>
                <w:szCs w:val="21"/>
              </w:rPr>
            </w:pPr>
          </w:p>
        </w:tc>
        <w:tc>
          <w:tcPr>
            <w:tcW w:w="5990" w:type="dxa"/>
          </w:tcPr>
          <w:p>
            <w:pPr>
              <w:spacing w:line="300" w:lineRule="auto"/>
              <w:rPr>
                <w:rFonts w:ascii="宋体" w:hAnsi="宋体"/>
                <w:b/>
                <w:szCs w:val="21"/>
              </w:rPr>
            </w:pPr>
            <w:r>
              <w:rPr>
                <w:rFonts w:hint="eastAsia" w:ascii="宋体" w:hAnsi="宋体"/>
                <w:b/>
                <w:szCs w:val="21"/>
              </w:rPr>
              <w:t>商务要求：</w:t>
            </w:r>
          </w:p>
          <w:p>
            <w:pPr>
              <w:numPr>
                <w:ilvl w:val="0"/>
                <w:numId w:val="55"/>
              </w:numPr>
              <w:tabs>
                <w:tab w:val="clear" w:pos="420"/>
              </w:tabs>
              <w:spacing w:line="300" w:lineRule="auto"/>
              <w:ind w:left="360" w:hanging="360"/>
              <w:rPr>
                <w:rFonts w:ascii="宋体" w:hAnsi="宋体"/>
                <w:szCs w:val="21"/>
              </w:rPr>
            </w:pPr>
            <w:r>
              <w:rPr>
                <w:rFonts w:hint="eastAsia" w:ascii="宋体" w:hAnsi="宋体"/>
                <w:szCs w:val="21"/>
              </w:rPr>
              <w:t>国内知名品牌，注册资本不得少于1000万 ；</w:t>
            </w:r>
          </w:p>
          <w:p>
            <w:pPr>
              <w:spacing w:line="300" w:lineRule="auto"/>
              <w:rPr>
                <w:rFonts w:ascii="宋体" w:hAnsi="宋体"/>
                <w:szCs w:val="21"/>
              </w:rPr>
            </w:pPr>
            <w:r>
              <w:rPr>
                <w:rFonts w:hint="eastAsia" w:ascii="宋体" w:hAnsi="宋体"/>
                <w:szCs w:val="21"/>
              </w:rPr>
              <w:t>2、设备商必须通过ISO9001:2000系列质量体系认证；</w:t>
            </w:r>
          </w:p>
          <w:p>
            <w:pPr>
              <w:spacing w:line="300" w:lineRule="auto"/>
              <w:rPr>
                <w:rFonts w:ascii="宋体" w:hAnsi="宋体"/>
                <w:szCs w:val="21"/>
              </w:rPr>
            </w:pPr>
            <w:r>
              <w:rPr>
                <w:rFonts w:hint="eastAsia" w:ascii="宋体" w:hAnsi="宋体"/>
                <w:szCs w:val="21"/>
              </w:rPr>
              <w:t>3、设备商必须在深圳地区设有长期固定的售后服务及维修机构；</w:t>
            </w:r>
          </w:p>
          <w:p>
            <w:pPr>
              <w:spacing w:line="300" w:lineRule="auto"/>
              <w:rPr>
                <w:rFonts w:ascii="宋体" w:hAnsi="宋体"/>
                <w:b/>
                <w:szCs w:val="21"/>
              </w:rPr>
            </w:pPr>
            <w:r>
              <w:rPr>
                <w:rFonts w:hint="eastAsia" w:ascii="宋体" w:hAnsi="宋体"/>
                <w:b/>
                <w:szCs w:val="21"/>
              </w:rPr>
              <w:t>技术要求：</w:t>
            </w:r>
          </w:p>
          <w:p>
            <w:pPr>
              <w:spacing w:line="300" w:lineRule="auto"/>
              <w:rPr>
                <w:rFonts w:ascii="宋体" w:hAnsi="宋体"/>
                <w:szCs w:val="21"/>
              </w:rPr>
            </w:pPr>
            <w:r>
              <w:rPr>
                <w:rFonts w:hint="eastAsia" w:ascii="宋体" w:hAnsi="宋体"/>
                <w:szCs w:val="21"/>
              </w:rPr>
              <w:t>1. 产品通过商标注册，提供所供产品的国家防火建筑材料质量监督检测中心的型式检验合格报告。</w:t>
            </w:r>
          </w:p>
          <w:p>
            <w:pPr>
              <w:spacing w:line="300" w:lineRule="auto"/>
              <w:rPr>
                <w:rFonts w:ascii="宋体" w:hAnsi="宋体"/>
                <w:szCs w:val="21"/>
              </w:rPr>
            </w:pPr>
            <w:r>
              <w:rPr>
                <w:rFonts w:hint="eastAsia" w:ascii="宋体" w:hAnsi="宋体"/>
                <w:szCs w:val="21"/>
              </w:rPr>
              <w:t>2. 橡塑表面自带铝箔，发泡材料必须不含石棉物质，应具有高倍率、闭孔型独立微气泡结构；柔性好、不吸水、高弹性、耐老化、耐低温、防水，化学性能稳定，粘接、热合、分切等加工性能尤为优良；应符合</w:t>
            </w:r>
            <w:r>
              <w:rPr>
                <w:rFonts w:ascii="宋体" w:hAnsi="宋体"/>
                <w:szCs w:val="21"/>
              </w:rPr>
              <w:t>GB/T 17794-2008</w:t>
            </w:r>
            <w:r>
              <w:rPr>
                <w:rFonts w:hint="eastAsia" w:ascii="宋体" w:hAnsi="宋体"/>
                <w:szCs w:val="21"/>
              </w:rPr>
              <w:t>《柔性泡沫橡塑绝热制品》的规定。</w:t>
            </w:r>
          </w:p>
          <w:p>
            <w:pPr>
              <w:spacing w:line="300" w:lineRule="auto"/>
              <w:rPr>
                <w:rFonts w:ascii="宋体" w:hAnsi="宋体"/>
                <w:szCs w:val="21"/>
              </w:rPr>
            </w:pPr>
            <w:r>
              <w:rPr>
                <w:rFonts w:hint="eastAsia" w:ascii="宋体" w:hAnsi="宋体"/>
                <w:szCs w:val="21"/>
              </w:rPr>
              <w:t>3.所用胶水、胶带为原厂配置的不燃性环保胶水、胶带。</w:t>
            </w:r>
          </w:p>
          <w:p>
            <w:pPr>
              <w:spacing w:line="300" w:lineRule="auto"/>
              <w:rPr>
                <w:rFonts w:ascii="宋体" w:hAnsi="宋体"/>
                <w:szCs w:val="21"/>
              </w:rPr>
            </w:pPr>
            <w:r>
              <w:rPr>
                <w:rFonts w:hint="eastAsia" w:ascii="宋体" w:hAnsi="宋体"/>
                <w:szCs w:val="21"/>
              </w:rPr>
              <w:t>4.不生霉、对管道无腐蚀性。</w:t>
            </w:r>
          </w:p>
        </w:tc>
        <w:tc>
          <w:tcPr>
            <w:tcW w:w="1686" w:type="dxa"/>
          </w:tcPr>
          <w:p>
            <w:pPr>
              <w:spacing w:line="300" w:lineRule="auto"/>
              <w:rPr>
                <w:rFonts w:ascii="宋体" w:hAnsi="宋体"/>
                <w:szCs w:val="21"/>
              </w:rPr>
            </w:pPr>
          </w:p>
        </w:tc>
      </w:tr>
    </w:tbl>
    <w:p>
      <w:pPr>
        <w:rPr>
          <w:sz w:val="20"/>
          <w:szCs w:val="20"/>
        </w:rPr>
      </w:pPr>
    </w:p>
    <w:p>
      <w:pPr>
        <w:spacing w:line="300" w:lineRule="auto"/>
        <w:rPr>
          <w:rFonts w:ascii="宋体" w:hAnsi="宋体"/>
          <w:sz w:val="20"/>
          <w:szCs w:val="20"/>
        </w:rPr>
      </w:pPr>
      <w:r>
        <w:rPr>
          <w:rFonts w:hint="eastAsia" w:ascii="宋体" w:hAnsi="宋体"/>
          <w:b/>
          <w:sz w:val="20"/>
          <w:szCs w:val="20"/>
        </w:rPr>
        <w:t>说明：</w:t>
      </w:r>
      <w:r>
        <w:rPr>
          <w:rFonts w:hint="eastAsia" w:ascii="宋体" w:hAnsi="宋体"/>
          <w:sz w:val="20"/>
          <w:szCs w:val="20"/>
        </w:rPr>
        <w:t>承包商选用的材料设备需进行品牌申报，并提供本标书要求的产品相关资料。</w:t>
      </w:r>
    </w:p>
    <w:p>
      <w:pPr>
        <w:rPr>
          <w:color w:val="000000"/>
        </w:rPr>
      </w:pPr>
    </w:p>
    <w:p/>
    <w:p>
      <w:pPr>
        <w:spacing w:line="360" w:lineRule="auto"/>
        <w:jc w:val="center"/>
        <w:rPr>
          <w:rFonts w:ascii="宋体" w:hAnsi="宋体"/>
          <w:b/>
          <w:bCs/>
          <w:sz w:val="36"/>
          <w:szCs w:val="36"/>
        </w:rPr>
      </w:pPr>
    </w:p>
    <w:p>
      <w:pPr>
        <w:widowControl/>
        <w:spacing w:line="360" w:lineRule="auto"/>
        <w:jc w:val="left"/>
        <w:rPr>
          <w:rFonts w:ascii="宋体" w:hAnsi="宋体"/>
          <w:b/>
          <w:bCs/>
          <w:sz w:val="36"/>
          <w:szCs w:val="36"/>
        </w:rPr>
      </w:pPr>
      <w:r>
        <w:rPr>
          <w:rFonts w:ascii="宋体" w:hAnsi="宋体"/>
          <w:b/>
          <w:bCs/>
          <w:sz w:val="36"/>
          <w:szCs w:val="36"/>
        </w:rPr>
        <w:br w:type="page"/>
      </w:r>
    </w:p>
    <w:p>
      <w:pPr>
        <w:spacing w:line="360" w:lineRule="auto"/>
        <w:jc w:val="center"/>
        <w:rPr>
          <w:rFonts w:ascii="宋体" w:hAnsi="宋体"/>
          <w:b/>
          <w:bCs/>
          <w:sz w:val="48"/>
          <w:szCs w:val="48"/>
        </w:rPr>
      </w:pPr>
      <w:r>
        <w:rPr>
          <w:rFonts w:hint="eastAsia" w:ascii="宋体" w:hAnsi="宋体"/>
          <w:b/>
          <w:bCs/>
          <w:sz w:val="48"/>
          <w:szCs w:val="48"/>
        </w:rPr>
        <w:t xml:space="preserve">第五部分 </w:t>
      </w:r>
      <w:r>
        <w:rPr>
          <w:rFonts w:ascii="宋体" w:hAnsi="宋体"/>
          <w:b/>
          <w:bCs/>
          <w:sz w:val="48"/>
          <w:szCs w:val="48"/>
        </w:rPr>
        <w:t xml:space="preserve"> </w:t>
      </w:r>
      <w:r>
        <w:rPr>
          <w:rFonts w:hint="eastAsia" w:ascii="宋体" w:hAnsi="宋体"/>
          <w:b/>
          <w:bCs/>
          <w:sz w:val="48"/>
          <w:szCs w:val="48"/>
        </w:rPr>
        <w:t>室外园建工程技术要求</w:t>
      </w:r>
    </w:p>
    <w:p>
      <w:pPr>
        <w:spacing w:line="360" w:lineRule="auto"/>
        <w:ind w:firstLine="602" w:firstLineChars="200"/>
        <w:jc w:val="left"/>
        <w:rPr>
          <w:rFonts w:ascii="宋体" w:hAnsi="宋体"/>
          <w:b/>
          <w:bCs/>
          <w:kern w:val="0"/>
          <w:sz w:val="30"/>
          <w:szCs w:val="30"/>
        </w:rPr>
      </w:pPr>
      <w:r>
        <w:rPr>
          <w:rFonts w:hint="eastAsia" w:ascii="宋体" w:hAnsi="宋体"/>
          <w:b/>
          <w:bCs/>
          <w:kern w:val="0"/>
          <w:sz w:val="30"/>
          <w:szCs w:val="30"/>
        </w:rPr>
        <w:t>一、土方回填</w:t>
      </w:r>
    </w:p>
    <w:p>
      <w:pPr>
        <w:spacing w:line="360" w:lineRule="auto"/>
        <w:rPr>
          <w:rFonts w:ascii="宋体" w:hAnsi="宋体"/>
          <w:sz w:val="24"/>
          <w:szCs w:val="24"/>
        </w:rPr>
      </w:pPr>
      <w:r>
        <w:rPr>
          <w:rFonts w:hint="eastAsia" w:ascii="宋体" w:hAnsi="宋体"/>
          <w:sz w:val="24"/>
          <w:szCs w:val="24"/>
        </w:rPr>
        <w:t>1.1土方地形施工方法</w:t>
      </w:r>
    </w:p>
    <w:p>
      <w:pPr>
        <w:numPr>
          <w:ilvl w:val="0"/>
          <w:numId w:val="64"/>
        </w:numPr>
        <w:spacing w:line="360" w:lineRule="auto"/>
        <w:rPr>
          <w:rFonts w:ascii="宋体" w:hAnsi="宋体"/>
          <w:sz w:val="24"/>
          <w:szCs w:val="24"/>
        </w:rPr>
      </w:pPr>
      <w:r>
        <w:rPr>
          <w:rFonts w:hint="eastAsia" w:ascii="宋体" w:hAnsi="宋体"/>
          <w:sz w:val="24"/>
          <w:szCs w:val="24"/>
        </w:rPr>
        <w:t>以机械施工为主，辅助人工；</w:t>
      </w:r>
    </w:p>
    <w:p>
      <w:pPr>
        <w:numPr>
          <w:ilvl w:val="0"/>
          <w:numId w:val="64"/>
        </w:numPr>
        <w:spacing w:line="360" w:lineRule="auto"/>
        <w:rPr>
          <w:rFonts w:ascii="宋体" w:hAnsi="宋体"/>
          <w:sz w:val="24"/>
          <w:szCs w:val="24"/>
        </w:rPr>
      </w:pPr>
      <w:r>
        <w:rPr>
          <w:rFonts w:hint="eastAsia" w:ascii="宋体" w:hAnsi="宋体"/>
          <w:sz w:val="24"/>
          <w:szCs w:val="24"/>
        </w:rPr>
        <w:t>机械选用大、小型挖土机、铲车（40铲）、土方运输车、小型推土机；</w:t>
      </w:r>
    </w:p>
    <w:p>
      <w:pPr>
        <w:numPr>
          <w:ilvl w:val="0"/>
          <w:numId w:val="64"/>
        </w:numPr>
        <w:spacing w:line="360" w:lineRule="auto"/>
        <w:rPr>
          <w:rFonts w:ascii="宋体" w:hAnsi="宋体"/>
          <w:sz w:val="24"/>
          <w:szCs w:val="24"/>
        </w:rPr>
      </w:pPr>
      <w:r>
        <w:rPr>
          <w:rFonts w:hint="eastAsia" w:ascii="宋体" w:hAnsi="宋体"/>
          <w:sz w:val="24"/>
          <w:szCs w:val="24"/>
        </w:rPr>
        <w:t>工序流程</w:t>
      </w:r>
    </w:p>
    <w:p>
      <w:pPr>
        <w:spacing w:line="360" w:lineRule="auto"/>
        <w:ind w:firstLine="480" w:firstLineChars="200"/>
        <w:rPr>
          <w:rFonts w:ascii="宋体" w:hAnsi="宋体"/>
          <w:sz w:val="24"/>
          <w:szCs w:val="24"/>
        </w:rPr>
      </w:pPr>
      <w:r>
        <w:rPr>
          <w:rFonts w:hint="eastAsia" w:ascii="宋体" w:hAnsi="宋体"/>
          <w:sz w:val="24"/>
          <w:szCs w:val="24"/>
        </w:rPr>
        <w:t>测量放线——钉标高桩——土方开挖——推土整理粗地形——标高测量复核——整细地形——土壤改良</w:t>
      </w:r>
    </w:p>
    <w:p>
      <w:pPr>
        <w:autoSpaceDE w:val="0"/>
        <w:autoSpaceDN w:val="0"/>
        <w:adjustRightInd w:val="0"/>
        <w:spacing w:line="360" w:lineRule="auto"/>
        <w:jc w:val="left"/>
        <w:rPr>
          <w:rFonts w:ascii="宋体" w:hAnsi="宋体"/>
          <w:sz w:val="24"/>
          <w:szCs w:val="24"/>
        </w:rPr>
      </w:pPr>
      <w:r>
        <w:rPr>
          <w:rFonts w:hint="eastAsia" w:ascii="宋体" w:hAnsi="宋体"/>
          <w:sz w:val="24"/>
          <w:szCs w:val="24"/>
        </w:rPr>
        <w:t>1.1.2回填土的质量标准</w:t>
      </w:r>
    </w:p>
    <w:p>
      <w:pPr>
        <w:spacing w:line="360" w:lineRule="auto"/>
        <w:ind w:left="719" w:leftChars="228" w:right="-1413" w:rightChars="-673" w:hanging="240" w:hangingChars="100"/>
        <w:rPr>
          <w:rFonts w:ascii="宋体" w:hAnsi="宋体"/>
          <w:sz w:val="24"/>
          <w:szCs w:val="24"/>
        </w:rPr>
      </w:pPr>
      <w:r>
        <w:rPr>
          <w:rFonts w:hint="eastAsia" w:ascii="宋体" w:hAnsi="宋体"/>
          <w:sz w:val="24"/>
          <w:szCs w:val="24"/>
        </w:rPr>
        <w:t>保证项目：</w:t>
      </w:r>
    </w:p>
    <w:p>
      <w:pPr>
        <w:spacing w:line="360" w:lineRule="auto"/>
        <w:ind w:right="-1413" w:rightChars="-673" w:firstLine="540" w:firstLineChars="225"/>
        <w:rPr>
          <w:rFonts w:ascii="宋体" w:hAnsi="宋体"/>
          <w:sz w:val="24"/>
          <w:szCs w:val="24"/>
        </w:rPr>
      </w:pPr>
      <w:r>
        <w:rPr>
          <w:rFonts w:hint="eastAsia" w:ascii="宋体" w:hAnsi="宋体"/>
          <w:sz w:val="24"/>
          <w:szCs w:val="24"/>
        </w:rPr>
        <w:t>基底处理必须符合设计要求或施工规范的规定。</w:t>
      </w:r>
    </w:p>
    <w:p>
      <w:pPr>
        <w:spacing w:line="360" w:lineRule="auto"/>
        <w:ind w:right="-1413" w:rightChars="-673" w:firstLine="540" w:firstLineChars="225"/>
        <w:rPr>
          <w:rFonts w:ascii="宋体" w:hAnsi="宋体"/>
          <w:sz w:val="24"/>
          <w:szCs w:val="24"/>
        </w:rPr>
      </w:pPr>
      <w:r>
        <w:rPr>
          <w:rFonts w:hint="eastAsia" w:ascii="宋体" w:hAnsi="宋体"/>
          <w:sz w:val="24"/>
          <w:szCs w:val="24"/>
        </w:rPr>
        <w:t>回填的土，必须符合设计要求或施工规范的规定。种植区域必须满足种植对于土</w:t>
      </w:r>
    </w:p>
    <w:p>
      <w:pPr>
        <w:spacing w:line="360" w:lineRule="auto"/>
        <w:ind w:right="-1413" w:rightChars="-673"/>
        <w:rPr>
          <w:rFonts w:ascii="宋体" w:hAnsi="宋体"/>
          <w:sz w:val="24"/>
          <w:szCs w:val="24"/>
        </w:rPr>
      </w:pPr>
      <w:r>
        <w:rPr>
          <w:rFonts w:hint="eastAsia" w:ascii="宋体" w:hAnsi="宋体"/>
          <w:sz w:val="24"/>
          <w:szCs w:val="24"/>
        </w:rPr>
        <w:t>壤的要求，达到种植土的质量标准和密实度要求。</w:t>
      </w:r>
    </w:p>
    <w:p>
      <w:pPr>
        <w:spacing w:line="360" w:lineRule="auto"/>
        <w:ind w:right="25" w:rightChars="12" w:firstLine="540" w:firstLineChars="225"/>
        <w:rPr>
          <w:rFonts w:ascii="宋体" w:hAnsi="宋体"/>
          <w:sz w:val="24"/>
          <w:szCs w:val="24"/>
        </w:rPr>
      </w:pPr>
      <w:r>
        <w:rPr>
          <w:rFonts w:hint="eastAsia" w:ascii="宋体" w:hAnsi="宋体"/>
          <w:sz w:val="24"/>
          <w:szCs w:val="24"/>
        </w:rPr>
        <w:t>回填土必须按规定分层夯、压密实。取样测定压实的干土质量密度，其合格率不应小于90%；不合格的干土质量密度的最低值与设计值的差，不应大于0.08g/cm³，且不应集中。环刀取样的方法及数量应符合规定。</w:t>
      </w:r>
    </w:p>
    <w:p>
      <w:pPr>
        <w:spacing w:line="360" w:lineRule="auto"/>
        <w:ind w:right="-1413" w:rightChars="-673" w:firstLine="540" w:firstLineChars="225"/>
        <w:rPr>
          <w:rFonts w:ascii="宋体" w:hAnsi="宋体"/>
          <w:sz w:val="24"/>
          <w:szCs w:val="24"/>
        </w:rPr>
      </w:pPr>
      <w:r>
        <w:rPr>
          <w:rFonts w:hint="eastAsia" w:ascii="宋体" w:hAnsi="宋体"/>
          <w:sz w:val="24"/>
          <w:szCs w:val="24"/>
        </w:rPr>
        <w:t>允许偏差项目：</w:t>
      </w:r>
    </w:p>
    <w:p>
      <w:pPr>
        <w:spacing w:line="360" w:lineRule="auto"/>
        <w:ind w:left="601" w:leftChars="286" w:right="-1413" w:rightChars="-673" w:firstLine="2640" w:firstLineChars="1100"/>
        <w:rPr>
          <w:rFonts w:ascii="宋体" w:hAnsi="宋体"/>
          <w:sz w:val="24"/>
          <w:szCs w:val="24"/>
        </w:rPr>
      </w:pPr>
      <w:r>
        <w:rPr>
          <w:rFonts w:hint="eastAsia" w:ascii="宋体" w:hAnsi="宋体"/>
          <w:sz w:val="24"/>
          <w:szCs w:val="24"/>
        </w:rPr>
        <w:t>回填土工程允许偏差（表4-2）</w:t>
      </w:r>
    </w:p>
    <w:tbl>
      <w:tblPr>
        <w:tblStyle w:val="43"/>
        <w:tblW w:w="8327" w:type="dxa"/>
        <w:tblInd w:w="64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1"/>
        <w:gridCol w:w="1448"/>
        <w:gridCol w:w="2280"/>
        <w:gridCol w:w="40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9" w:hRule="atLeast"/>
        </w:trPr>
        <w:tc>
          <w:tcPr>
            <w:tcW w:w="591" w:type="dxa"/>
            <w:tcBorders>
              <w:top w:val="single" w:color="auto" w:sz="4" w:space="0"/>
              <w:left w:val="single" w:color="auto" w:sz="4" w:space="0"/>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项次</w:t>
            </w:r>
          </w:p>
        </w:tc>
        <w:tc>
          <w:tcPr>
            <w:tcW w:w="144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项目</w:t>
            </w:r>
          </w:p>
        </w:tc>
        <w:tc>
          <w:tcPr>
            <w:tcW w:w="2280"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允许偏差（mm）</w:t>
            </w:r>
          </w:p>
        </w:tc>
        <w:tc>
          <w:tcPr>
            <w:tcW w:w="400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检验方法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8" w:hRule="atLeast"/>
        </w:trPr>
        <w:tc>
          <w:tcPr>
            <w:tcW w:w="591" w:type="dxa"/>
            <w:tcBorders>
              <w:top w:val="single" w:color="auto" w:sz="4" w:space="0"/>
              <w:left w:val="single" w:color="auto" w:sz="4" w:space="0"/>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1</w:t>
            </w:r>
          </w:p>
        </w:tc>
        <w:tc>
          <w:tcPr>
            <w:tcW w:w="144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顶面标高</w:t>
            </w:r>
          </w:p>
        </w:tc>
        <w:tc>
          <w:tcPr>
            <w:tcW w:w="2280"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+0    -50</w:t>
            </w:r>
          </w:p>
        </w:tc>
        <w:tc>
          <w:tcPr>
            <w:tcW w:w="400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用水准仪或拉线尺度度检查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8" w:hRule="atLeast"/>
        </w:trPr>
        <w:tc>
          <w:tcPr>
            <w:tcW w:w="591" w:type="dxa"/>
            <w:tcBorders>
              <w:top w:val="single" w:color="auto" w:sz="4" w:space="0"/>
              <w:left w:val="single" w:color="auto" w:sz="4" w:space="0"/>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2</w:t>
            </w:r>
          </w:p>
        </w:tc>
        <w:tc>
          <w:tcPr>
            <w:tcW w:w="144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表面平整度</w:t>
            </w:r>
          </w:p>
        </w:tc>
        <w:tc>
          <w:tcPr>
            <w:tcW w:w="2280"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20</w:t>
            </w:r>
          </w:p>
        </w:tc>
        <w:tc>
          <w:tcPr>
            <w:tcW w:w="4008" w:type="dxa"/>
            <w:tcBorders>
              <w:top w:val="single" w:color="auto" w:sz="4" w:space="0"/>
              <w:left w:val="nil"/>
              <w:bottom w:val="single" w:color="auto" w:sz="4" w:space="0"/>
              <w:right w:val="single" w:color="auto" w:sz="4" w:space="0"/>
            </w:tcBorders>
          </w:tcPr>
          <w:p>
            <w:pPr>
              <w:spacing w:line="360" w:lineRule="auto"/>
              <w:ind w:right="-1413" w:rightChars="-673"/>
              <w:rPr>
                <w:rFonts w:ascii="宋体" w:hAnsi="宋体"/>
                <w:sz w:val="24"/>
                <w:szCs w:val="24"/>
              </w:rPr>
            </w:pPr>
            <w:r>
              <w:rPr>
                <w:rFonts w:hint="eastAsia" w:ascii="宋体" w:hAnsi="宋体"/>
                <w:sz w:val="24"/>
                <w:szCs w:val="24"/>
              </w:rPr>
              <w:t>用2m靠尺和楔形塞尺尺量检查</w:t>
            </w:r>
          </w:p>
        </w:tc>
      </w:tr>
    </w:tbl>
    <w:p>
      <w:pPr>
        <w:spacing w:line="360" w:lineRule="auto"/>
        <w:rPr>
          <w:rFonts w:ascii="宋体" w:hAnsi="宋体"/>
          <w:b/>
          <w:bCs/>
          <w:sz w:val="24"/>
          <w:szCs w:val="24"/>
        </w:rPr>
      </w:pPr>
      <w:r>
        <w:rPr>
          <w:rFonts w:hint="eastAsia" w:ascii="宋体" w:hAnsi="宋体"/>
          <w:b/>
          <w:bCs/>
          <w:sz w:val="24"/>
          <w:szCs w:val="24"/>
        </w:rPr>
        <w:t xml:space="preserve"> </w:t>
      </w:r>
    </w:p>
    <w:p>
      <w:pPr>
        <w:spacing w:line="360" w:lineRule="auto"/>
        <w:ind w:firstLine="482" w:firstLineChars="200"/>
        <w:rPr>
          <w:rFonts w:ascii="宋体" w:hAnsi="宋体"/>
          <w:b/>
          <w:bCs/>
          <w:sz w:val="24"/>
          <w:szCs w:val="24"/>
        </w:rPr>
      </w:pPr>
      <w:r>
        <w:rPr>
          <w:rFonts w:hint="eastAsia" w:ascii="宋体" w:hAnsi="宋体"/>
          <w:b/>
          <w:bCs/>
          <w:sz w:val="24"/>
          <w:szCs w:val="24"/>
        </w:rPr>
        <w:t>二、草坪的种植</w:t>
      </w:r>
    </w:p>
    <w:p>
      <w:pPr>
        <w:spacing w:line="360" w:lineRule="auto"/>
        <w:ind w:firstLine="480" w:firstLineChars="200"/>
        <w:rPr>
          <w:rFonts w:ascii="宋体" w:hAnsi="宋体"/>
          <w:sz w:val="24"/>
          <w:szCs w:val="24"/>
        </w:rPr>
      </w:pPr>
      <w:r>
        <w:rPr>
          <w:rFonts w:hint="eastAsia" w:ascii="宋体" w:hAnsi="宋体"/>
          <w:sz w:val="24"/>
          <w:szCs w:val="24"/>
        </w:rPr>
        <w:t>铺植草皮工程要点：</w:t>
      </w:r>
    </w:p>
    <w:p>
      <w:pPr>
        <w:spacing w:line="360" w:lineRule="auto"/>
        <w:ind w:firstLine="480" w:firstLineChars="200"/>
        <w:rPr>
          <w:rFonts w:ascii="宋体" w:hAnsi="宋体"/>
          <w:sz w:val="24"/>
          <w:szCs w:val="24"/>
        </w:rPr>
      </w:pPr>
      <w:r>
        <w:rPr>
          <w:rFonts w:hint="eastAsia" w:ascii="宋体" w:hAnsi="宋体"/>
          <w:sz w:val="24"/>
          <w:szCs w:val="24"/>
        </w:rPr>
        <w:t>1、检查草皮质量</w:t>
      </w:r>
    </w:p>
    <w:p>
      <w:pPr>
        <w:spacing w:line="360" w:lineRule="auto"/>
        <w:ind w:firstLine="480" w:firstLineChars="200"/>
        <w:rPr>
          <w:rFonts w:ascii="宋体" w:hAnsi="宋体"/>
          <w:sz w:val="24"/>
          <w:szCs w:val="24"/>
        </w:rPr>
      </w:pPr>
      <w:r>
        <w:rPr>
          <w:rFonts w:hint="eastAsia" w:ascii="宋体" w:hAnsi="宋体"/>
          <w:sz w:val="24"/>
          <w:szCs w:val="24"/>
        </w:rPr>
        <w:t>1）检查草皮的规格：厚度、长度、宽度、草长度、完整度。</w:t>
      </w:r>
    </w:p>
    <w:p>
      <w:pPr>
        <w:spacing w:line="360" w:lineRule="auto"/>
        <w:ind w:firstLine="480" w:firstLineChars="200"/>
        <w:rPr>
          <w:rFonts w:ascii="宋体" w:hAnsi="宋体"/>
          <w:sz w:val="24"/>
          <w:szCs w:val="24"/>
        </w:rPr>
      </w:pPr>
      <w:r>
        <w:rPr>
          <w:rFonts w:hint="eastAsia" w:ascii="宋体" w:hAnsi="宋体"/>
          <w:sz w:val="24"/>
          <w:szCs w:val="24"/>
        </w:rPr>
        <w:t>2）检查草皮的数量：a、1件草皮的数量    b、总件数</w:t>
      </w:r>
    </w:p>
    <w:p>
      <w:pPr>
        <w:spacing w:line="360" w:lineRule="auto"/>
        <w:ind w:firstLine="480" w:firstLineChars="200"/>
        <w:rPr>
          <w:rFonts w:ascii="宋体" w:hAnsi="宋体"/>
          <w:sz w:val="24"/>
          <w:szCs w:val="24"/>
        </w:rPr>
      </w:pPr>
      <w:r>
        <w:rPr>
          <w:rFonts w:hint="eastAsia" w:ascii="宋体" w:hAnsi="宋体"/>
          <w:sz w:val="24"/>
          <w:szCs w:val="24"/>
        </w:rPr>
        <w:t>2、铺草皮工艺：</w:t>
      </w:r>
    </w:p>
    <w:p>
      <w:pPr>
        <w:spacing w:line="360" w:lineRule="auto"/>
        <w:ind w:firstLine="480" w:firstLineChars="200"/>
        <w:rPr>
          <w:rFonts w:ascii="宋体" w:hAnsi="宋体"/>
          <w:sz w:val="24"/>
          <w:szCs w:val="24"/>
        </w:rPr>
      </w:pPr>
      <w:r>
        <w:rPr>
          <w:rFonts w:hint="eastAsia" w:ascii="宋体" w:hAnsi="宋体"/>
          <w:sz w:val="24"/>
          <w:szCs w:val="24"/>
        </w:rPr>
        <w:t>1）草块应选择无杂草、生长势好的草源。在干旱地掘草块前应适量浇水，待渗透后掘取。</w:t>
      </w:r>
    </w:p>
    <w:p>
      <w:pPr>
        <w:spacing w:line="360" w:lineRule="auto"/>
        <w:ind w:firstLine="480" w:firstLineChars="200"/>
        <w:rPr>
          <w:rFonts w:ascii="宋体" w:hAnsi="宋体"/>
          <w:sz w:val="24"/>
          <w:szCs w:val="24"/>
        </w:rPr>
      </w:pPr>
      <w:r>
        <w:rPr>
          <w:rFonts w:hint="eastAsia" w:ascii="宋体" w:hAnsi="宋体"/>
          <w:sz w:val="24"/>
          <w:szCs w:val="24"/>
        </w:rPr>
        <w:t>2）草皮运输时宜用木板置放2-3层，装卸车时，应防止破碎。</w:t>
      </w:r>
    </w:p>
    <w:p>
      <w:pPr>
        <w:spacing w:line="360" w:lineRule="auto"/>
        <w:ind w:firstLine="480" w:firstLineChars="200"/>
        <w:rPr>
          <w:rFonts w:ascii="宋体" w:hAnsi="宋体"/>
          <w:sz w:val="24"/>
          <w:szCs w:val="24"/>
        </w:rPr>
      </w:pPr>
      <w:r>
        <w:rPr>
          <w:rFonts w:hint="eastAsia" w:ascii="宋体" w:hAnsi="宋体"/>
          <w:sz w:val="24"/>
          <w:szCs w:val="24"/>
        </w:rPr>
        <w:t>3）铺草皮前必要时（如果天气高温干旱）对施工面及草皮淋水一次。</w:t>
      </w:r>
    </w:p>
    <w:p>
      <w:pPr>
        <w:spacing w:line="360" w:lineRule="auto"/>
        <w:ind w:firstLine="480" w:firstLineChars="200"/>
        <w:rPr>
          <w:rFonts w:ascii="宋体" w:hAnsi="宋体"/>
          <w:sz w:val="24"/>
          <w:szCs w:val="24"/>
        </w:rPr>
      </w:pPr>
      <w:r>
        <w:rPr>
          <w:rFonts w:hint="eastAsia" w:ascii="宋体" w:hAnsi="宋体"/>
          <w:sz w:val="24"/>
          <w:szCs w:val="24"/>
        </w:rPr>
        <w:t>4）铺草皮时横竖尽量成直线，但不能盖住水泥块等构筑物。</w:t>
      </w:r>
    </w:p>
    <w:p>
      <w:pPr>
        <w:spacing w:line="360" w:lineRule="auto"/>
        <w:ind w:firstLine="480" w:firstLineChars="200"/>
        <w:rPr>
          <w:rFonts w:ascii="宋体" w:hAnsi="宋体"/>
          <w:sz w:val="24"/>
          <w:szCs w:val="24"/>
        </w:rPr>
      </w:pPr>
      <w:r>
        <w:rPr>
          <w:rFonts w:hint="eastAsia" w:ascii="宋体" w:hAnsi="宋体"/>
          <w:sz w:val="24"/>
          <w:szCs w:val="24"/>
        </w:rPr>
        <w:t>5）草皮与草皮之间留1~2cm间隙。</w:t>
      </w:r>
    </w:p>
    <w:p>
      <w:pPr>
        <w:spacing w:line="360" w:lineRule="auto"/>
        <w:ind w:firstLine="480" w:firstLineChars="200"/>
        <w:rPr>
          <w:rFonts w:ascii="宋体" w:hAnsi="宋体"/>
          <w:sz w:val="24"/>
          <w:szCs w:val="24"/>
        </w:rPr>
      </w:pPr>
      <w:r>
        <w:rPr>
          <w:rFonts w:hint="eastAsia" w:ascii="宋体" w:hAnsi="宋体"/>
          <w:sz w:val="24"/>
          <w:szCs w:val="24"/>
        </w:rPr>
        <w:t>6）铺完草皮马上淋水并拍实草皮。</w:t>
      </w:r>
    </w:p>
    <w:p>
      <w:pPr>
        <w:spacing w:line="360" w:lineRule="auto"/>
        <w:ind w:firstLine="480" w:firstLineChars="200"/>
        <w:rPr>
          <w:rFonts w:ascii="宋体" w:hAnsi="宋体"/>
          <w:sz w:val="24"/>
          <w:szCs w:val="24"/>
        </w:rPr>
      </w:pPr>
      <w:r>
        <w:rPr>
          <w:rFonts w:hint="eastAsia" w:ascii="宋体" w:hAnsi="宋体"/>
          <w:sz w:val="24"/>
          <w:szCs w:val="24"/>
        </w:rPr>
        <w:t>3、养护：</w:t>
      </w:r>
    </w:p>
    <w:p>
      <w:pPr>
        <w:spacing w:line="360" w:lineRule="auto"/>
        <w:ind w:firstLine="480" w:firstLineChars="200"/>
        <w:rPr>
          <w:rFonts w:ascii="宋体" w:hAnsi="宋体"/>
          <w:sz w:val="24"/>
          <w:szCs w:val="24"/>
        </w:rPr>
      </w:pPr>
      <w:r>
        <w:rPr>
          <w:rFonts w:hint="eastAsia" w:ascii="宋体" w:hAnsi="宋体"/>
          <w:sz w:val="24"/>
          <w:szCs w:val="24"/>
        </w:rPr>
        <w:t>1）刚铺草皮的1－2周内，每天早、晚至少淋两次水，忌中午淋水。</w:t>
      </w:r>
    </w:p>
    <w:p>
      <w:pPr>
        <w:spacing w:line="360" w:lineRule="auto"/>
        <w:ind w:firstLine="480" w:firstLineChars="200"/>
        <w:rPr>
          <w:rFonts w:ascii="宋体" w:hAnsi="宋体"/>
          <w:sz w:val="24"/>
          <w:szCs w:val="24"/>
        </w:rPr>
      </w:pPr>
      <w:r>
        <w:rPr>
          <w:rFonts w:hint="eastAsia" w:ascii="宋体" w:hAnsi="宋体"/>
          <w:sz w:val="24"/>
          <w:szCs w:val="24"/>
        </w:rPr>
        <w:t>2）新铺草皮待过了生长期，才能对其喷药杀虫或叶面施肥。</w:t>
      </w:r>
    </w:p>
    <w:p>
      <w:pPr>
        <w:spacing w:line="360" w:lineRule="auto"/>
        <w:ind w:firstLine="480" w:firstLineChars="200"/>
        <w:rPr>
          <w:rFonts w:ascii="宋体" w:hAnsi="宋体"/>
          <w:sz w:val="24"/>
          <w:szCs w:val="24"/>
        </w:rPr>
      </w:pPr>
      <w:r>
        <w:rPr>
          <w:rFonts w:hint="eastAsia" w:ascii="宋体" w:hAnsi="宋体"/>
          <w:sz w:val="24"/>
          <w:szCs w:val="24"/>
        </w:rPr>
        <w:t>3）喷药宜喷内吸性强的农药，叶面施肥宜施氮肥少施肥复合肥，以免草皮早打籽，未老先衰。</w:t>
      </w:r>
    </w:p>
    <w:p>
      <w:pPr>
        <w:spacing w:line="360" w:lineRule="auto"/>
        <w:ind w:firstLine="480" w:firstLineChars="200"/>
        <w:rPr>
          <w:rFonts w:ascii="宋体" w:hAnsi="宋体"/>
          <w:sz w:val="24"/>
          <w:szCs w:val="24"/>
        </w:rPr>
      </w:pPr>
      <w:r>
        <w:rPr>
          <w:rFonts w:hint="eastAsia" w:ascii="宋体" w:hAnsi="宋体"/>
          <w:sz w:val="24"/>
          <w:szCs w:val="24"/>
        </w:rPr>
        <w:t>4、清场：对施工现场进行清理。做到即种即清，自始至终保持施工现场整洁、干净。</w:t>
      </w:r>
    </w:p>
    <w:p>
      <w:pPr>
        <w:spacing w:line="360" w:lineRule="auto"/>
        <w:ind w:firstLine="482" w:firstLineChars="200"/>
        <w:rPr>
          <w:rFonts w:ascii="宋体" w:hAnsi="宋体"/>
          <w:b/>
          <w:bCs/>
          <w:sz w:val="24"/>
          <w:szCs w:val="24"/>
        </w:rPr>
      </w:pPr>
      <w:r>
        <w:rPr>
          <w:rFonts w:hint="eastAsia" w:ascii="宋体" w:hAnsi="宋体"/>
          <w:b/>
          <w:bCs/>
          <w:sz w:val="24"/>
          <w:szCs w:val="24"/>
        </w:rPr>
        <w:t>三、花卉种植</w:t>
      </w:r>
    </w:p>
    <w:p>
      <w:pPr>
        <w:spacing w:line="360" w:lineRule="auto"/>
        <w:ind w:firstLine="480" w:firstLineChars="200"/>
        <w:rPr>
          <w:rFonts w:ascii="宋体" w:hAnsi="宋体"/>
          <w:sz w:val="24"/>
          <w:szCs w:val="24"/>
        </w:rPr>
      </w:pPr>
      <w:r>
        <w:rPr>
          <w:rFonts w:hint="eastAsia" w:ascii="宋体" w:hAnsi="宋体"/>
          <w:sz w:val="24"/>
          <w:szCs w:val="24"/>
        </w:rPr>
        <w:t>按设计图纸定点放线，在地面上准确标定出位置，轮廓线，按放线种植花卉。</w:t>
      </w:r>
    </w:p>
    <w:p>
      <w:pPr>
        <w:spacing w:line="360" w:lineRule="auto"/>
        <w:ind w:firstLine="480" w:firstLineChars="200"/>
        <w:rPr>
          <w:rFonts w:ascii="宋体" w:hAnsi="宋体"/>
          <w:sz w:val="24"/>
          <w:szCs w:val="24"/>
        </w:rPr>
      </w:pPr>
      <w:r>
        <w:rPr>
          <w:rFonts w:hint="eastAsia" w:ascii="宋体" w:hAnsi="宋体"/>
          <w:sz w:val="24"/>
          <w:szCs w:val="24"/>
        </w:rPr>
        <w:t>栽种宿根花卉使用容器苗，气温高于25℃时避开中午高温时间，在傍晚栽植。裸根花卉随起苗、随运输、随种植。</w:t>
      </w:r>
    </w:p>
    <w:p>
      <w:pPr>
        <w:spacing w:line="360" w:lineRule="auto"/>
        <w:ind w:firstLine="480" w:firstLineChars="200"/>
        <w:rPr>
          <w:rFonts w:ascii="宋体" w:hAnsi="宋体"/>
          <w:sz w:val="24"/>
          <w:szCs w:val="24"/>
        </w:rPr>
      </w:pPr>
      <w:r>
        <w:rPr>
          <w:rFonts w:hint="eastAsia" w:ascii="宋体" w:hAnsi="宋体"/>
          <w:sz w:val="24"/>
          <w:szCs w:val="24"/>
        </w:rPr>
        <w:t>种植花卉的株行距，按植株高低，分蘖多少，冠丛大小决定，以成年后覆盖地面为宜。</w:t>
      </w:r>
    </w:p>
    <w:p>
      <w:pPr>
        <w:spacing w:line="360" w:lineRule="auto"/>
        <w:ind w:firstLine="480" w:firstLineChars="200"/>
        <w:rPr>
          <w:rFonts w:ascii="宋体" w:hAnsi="宋体"/>
          <w:sz w:val="24"/>
          <w:szCs w:val="24"/>
        </w:rPr>
      </w:pPr>
      <w:r>
        <w:rPr>
          <w:rFonts w:hint="eastAsia" w:ascii="宋体" w:hAnsi="宋体"/>
          <w:sz w:val="24"/>
          <w:szCs w:val="24"/>
        </w:rPr>
        <w:t>色带、花卉种植应保证疏密程度均匀、合理，留出一定生长空间。种植时控制每种色带、花卉的边缘线，保证色带、花卉的边缘整齐有很流畅的边缘线。种植后应及时对色带边缘进行整形修剪。</w:t>
      </w:r>
    </w:p>
    <w:p>
      <w:pPr>
        <w:spacing w:line="360" w:lineRule="auto"/>
        <w:ind w:firstLine="480" w:firstLineChars="200"/>
        <w:rPr>
          <w:rFonts w:ascii="宋体" w:hAnsi="宋体"/>
          <w:sz w:val="24"/>
          <w:szCs w:val="24"/>
        </w:rPr>
      </w:pPr>
      <w:r>
        <w:rPr>
          <w:rFonts w:hint="eastAsia" w:ascii="宋体" w:hAnsi="宋体"/>
          <w:sz w:val="24"/>
          <w:szCs w:val="24"/>
        </w:rPr>
        <w:t>种植深度与原种植深度平，不得损伤茎、叶，保持根系完整，覆土达3cm。</w:t>
      </w:r>
    </w:p>
    <w:p>
      <w:pPr>
        <w:spacing w:line="360" w:lineRule="auto"/>
        <w:ind w:firstLine="480" w:firstLineChars="200"/>
        <w:rPr>
          <w:rFonts w:ascii="宋体" w:hAnsi="宋体"/>
          <w:sz w:val="24"/>
          <w:szCs w:val="24"/>
        </w:rPr>
      </w:pPr>
      <w:r>
        <w:rPr>
          <w:rFonts w:hint="eastAsia" w:ascii="宋体" w:hAnsi="宋体"/>
          <w:sz w:val="24"/>
          <w:szCs w:val="24"/>
        </w:rPr>
        <w:t>根据景观要求适时修剪，生长期，花果期仅其生长，待枯黄后再进行修剪。</w:t>
      </w:r>
    </w:p>
    <w:p>
      <w:pPr>
        <w:spacing w:line="360" w:lineRule="auto"/>
        <w:ind w:firstLine="482" w:firstLineChars="200"/>
        <w:rPr>
          <w:rFonts w:ascii="宋体" w:hAnsi="宋体"/>
          <w:sz w:val="24"/>
          <w:szCs w:val="24"/>
        </w:rPr>
      </w:pPr>
      <w:r>
        <w:rPr>
          <w:rFonts w:hint="eastAsia" w:ascii="宋体" w:hAnsi="宋体"/>
          <w:b/>
          <w:bCs/>
          <w:sz w:val="24"/>
          <w:szCs w:val="24"/>
        </w:rPr>
        <w:t>四、各种铺装工艺流程和施工方法</w:t>
      </w:r>
    </w:p>
    <w:p>
      <w:pPr>
        <w:spacing w:line="360" w:lineRule="auto"/>
        <w:jc w:val="left"/>
        <w:rPr>
          <w:rFonts w:ascii="宋体" w:hAnsi="宋体"/>
          <w:sz w:val="24"/>
          <w:szCs w:val="24"/>
        </w:rPr>
      </w:pPr>
      <w:r>
        <w:rPr>
          <w:rFonts w:hint="eastAsia" w:ascii="宋体" w:hAnsi="宋体"/>
          <w:sz w:val="24"/>
          <w:szCs w:val="24"/>
        </w:rPr>
        <w:t>1.1铺装基土施工工艺、方法</w:t>
      </w:r>
    </w:p>
    <w:p>
      <w:pPr>
        <w:spacing w:line="360" w:lineRule="auto"/>
        <w:ind w:firstLine="480" w:firstLineChars="200"/>
        <w:jc w:val="left"/>
        <w:rPr>
          <w:rFonts w:ascii="宋体" w:hAnsi="宋体"/>
          <w:sz w:val="24"/>
          <w:szCs w:val="24"/>
        </w:rPr>
      </w:pPr>
      <w:r>
        <w:rPr>
          <w:rFonts w:hint="eastAsia" w:ascii="宋体" w:hAnsi="宋体"/>
          <w:sz w:val="24"/>
          <w:szCs w:val="24"/>
        </w:rPr>
        <w:t>施工流程：现场勘测——平整（开挖）——分层压（夯）实。</w:t>
      </w:r>
    </w:p>
    <w:p>
      <w:pPr>
        <w:spacing w:line="360" w:lineRule="auto"/>
        <w:ind w:firstLine="480" w:firstLineChars="200"/>
        <w:rPr>
          <w:rFonts w:ascii="宋体" w:hAnsi="宋体"/>
          <w:sz w:val="24"/>
          <w:szCs w:val="24"/>
        </w:rPr>
      </w:pPr>
      <w:r>
        <w:rPr>
          <w:rFonts w:hint="eastAsia" w:ascii="宋体" w:hAnsi="宋体"/>
          <w:sz w:val="24"/>
          <w:szCs w:val="24"/>
        </w:rPr>
        <w:t>施工工艺：</w:t>
      </w:r>
    </w:p>
    <w:p>
      <w:pPr>
        <w:spacing w:line="360" w:lineRule="auto"/>
        <w:ind w:firstLine="480" w:firstLineChars="200"/>
        <w:rPr>
          <w:rFonts w:ascii="宋体" w:hAnsi="宋体"/>
          <w:sz w:val="24"/>
          <w:szCs w:val="24"/>
        </w:rPr>
      </w:pPr>
      <w:r>
        <w:rPr>
          <w:rFonts w:hint="eastAsia" w:ascii="宋体" w:hAnsi="宋体"/>
          <w:sz w:val="24"/>
          <w:szCs w:val="24"/>
        </w:rPr>
        <w:t>（1）根据设计要求，对现场基土进行勘测，对土质和土壤状况进行分析判断，并确定基土标高，是否填土或开挖。对于在淤泥，淤泥土质及杂填土、冲填土等软弱土层上施工时，应按设计要求对基土进行更换或加固。</w:t>
      </w:r>
    </w:p>
    <w:p>
      <w:pPr>
        <w:spacing w:line="360" w:lineRule="auto"/>
        <w:ind w:firstLine="480" w:firstLineChars="200"/>
        <w:rPr>
          <w:rFonts w:ascii="宋体" w:hAnsi="宋体"/>
          <w:sz w:val="24"/>
          <w:szCs w:val="24"/>
        </w:rPr>
      </w:pPr>
      <w:r>
        <w:rPr>
          <w:rFonts w:hint="eastAsia" w:ascii="宋体" w:hAnsi="宋体"/>
          <w:sz w:val="24"/>
          <w:szCs w:val="24"/>
        </w:rPr>
        <w:t>（2）根据设计结构要求，确定基土标高，判断是否平整、填土或开挖土方：</w:t>
      </w:r>
    </w:p>
    <w:p>
      <w:pPr>
        <w:spacing w:line="360" w:lineRule="auto"/>
        <w:ind w:firstLine="600" w:firstLineChars="250"/>
        <w:rPr>
          <w:rFonts w:ascii="宋体" w:hAnsi="宋体"/>
          <w:sz w:val="24"/>
          <w:szCs w:val="24"/>
        </w:rPr>
      </w:pPr>
      <w:r>
        <w:rPr>
          <w:rFonts w:hint="eastAsia" w:ascii="宋体" w:hAnsi="宋体"/>
          <w:sz w:val="24"/>
          <w:szCs w:val="24"/>
        </w:rPr>
        <w:t>a、 淤泥、腐植土、冻土、耕植土和有机物含量大于8%的土不得用作回填土。膨胀土作为填土时，应进行技术处理。</w:t>
      </w:r>
    </w:p>
    <w:p>
      <w:pPr>
        <w:spacing w:line="360" w:lineRule="auto"/>
        <w:ind w:firstLine="480" w:firstLineChars="200"/>
        <w:rPr>
          <w:rFonts w:ascii="宋体" w:hAnsi="宋体"/>
          <w:sz w:val="24"/>
          <w:szCs w:val="24"/>
        </w:rPr>
      </w:pPr>
      <w:r>
        <w:rPr>
          <w:rFonts w:hint="eastAsia" w:ascii="宋体" w:hAnsi="宋体"/>
          <w:sz w:val="24"/>
          <w:szCs w:val="24"/>
        </w:rPr>
        <w:t xml:space="preserve"> b、 在做墙、柱基础处填土时，应重叠夯填密实，在填土与墙柱相连处，也可以采取设缝进行技术处理。</w:t>
      </w:r>
    </w:p>
    <w:p>
      <w:pPr>
        <w:spacing w:line="360" w:lineRule="auto"/>
        <w:ind w:firstLine="600" w:firstLineChars="250"/>
        <w:rPr>
          <w:rFonts w:ascii="宋体" w:hAnsi="宋体"/>
          <w:sz w:val="24"/>
          <w:szCs w:val="24"/>
        </w:rPr>
      </w:pPr>
      <w:r>
        <w:rPr>
          <w:rFonts w:hint="eastAsia" w:ascii="宋体" w:hAnsi="宋体"/>
          <w:sz w:val="24"/>
          <w:szCs w:val="24"/>
        </w:rPr>
        <w:t>c、 采用碎石、卵石等作为基土表层加强时，应均匀铺成一层，粒径宜为40MM，并应压（夯）入湿润的土层中。</w:t>
      </w:r>
    </w:p>
    <w:p>
      <w:pPr>
        <w:spacing w:line="360" w:lineRule="auto"/>
        <w:ind w:firstLine="480" w:firstLineChars="200"/>
        <w:rPr>
          <w:rFonts w:ascii="宋体" w:hAnsi="宋体"/>
          <w:sz w:val="24"/>
          <w:szCs w:val="24"/>
        </w:rPr>
      </w:pPr>
      <w:r>
        <w:rPr>
          <w:rFonts w:hint="eastAsia" w:ascii="宋体" w:hAnsi="宋体"/>
          <w:sz w:val="24"/>
          <w:szCs w:val="24"/>
        </w:rPr>
        <w:t>（3）相关标准及规范：</w:t>
      </w:r>
    </w:p>
    <w:p>
      <w:pPr>
        <w:spacing w:line="360" w:lineRule="auto"/>
        <w:ind w:firstLine="480" w:firstLineChars="200"/>
        <w:rPr>
          <w:rFonts w:ascii="宋体" w:hAnsi="宋体"/>
          <w:sz w:val="24"/>
          <w:szCs w:val="24"/>
        </w:rPr>
      </w:pPr>
      <w:r>
        <w:rPr>
          <w:rFonts w:hint="eastAsia" w:ascii="宋体" w:hAnsi="宋体"/>
          <w:sz w:val="24"/>
          <w:szCs w:val="24"/>
        </w:rPr>
        <w:t>分层压（夯）实的每层虚铺厚要求：机械压实，大于300MM；蛙式打夯机夯实，不大于250MM；人工夯实，不大于200MM。当基土下非湿陷性土层，用沙土为填土时，可随浇水随压（夯）实。每层虚铺厚度，不大于200MM。</w:t>
      </w:r>
    </w:p>
    <w:p>
      <w:pPr>
        <w:spacing w:line="360" w:lineRule="auto"/>
        <w:ind w:firstLine="480" w:firstLineChars="200"/>
        <w:rPr>
          <w:rFonts w:ascii="宋体" w:hAnsi="宋体"/>
          <w:sz w:val="24"/>
          <w:szCs w:val="24"/>
        </w:rPr>
      </w:pPr>
      <w:r>
        <w:rPr>
          <w:rFonts w:hint="eastAsia" w:ascii="宋体" w:hAnsi="宋体"/>
          <w:sz w:val="24"/>
          <w:szCs w:val="24"/>
        </w:rPr>
        <w:t>相关规范：《地基与基础工程技术规范》、《建筑地基处理技术规范》、《土方与爆破工程施工及验收规范》、《建筑地面工程施工及验收规范》。</w:t>
      </w:r>
    </w:p>
    <w:p>
      <w:pPr>
        <w:spacing w:line="360" w:lineRule="auto"/>
        <w:rPr>
          <w:rFonts w:ascii="宋体" w:hAnsi="宋体"/>
          <w:sz w:val="24"/>
          <w:szCs w:val="24"/>
        </w:rPr>
      </w:pPr>
      <w:r>
        <w:rPr>
          <w:rFonts w:hint="eastAsia" w:ascii="宋体" w:hAnsi="宋体"/>
          <w:sz w:val="24"/>
          <w:szCs w:val="24"/>
        </w:rPr>
        <w:t>1.2铺装基层施工工艺和方法</w:t>
      </w:r>
    </w:p>
    <w:p>
      <w:pPr>
        <w:spacing w:line="360" w:lineRule="auto"/>
        <w:ind w:firstLine="480" w:firstLineChars="200"/>
        <w:rPr>
          <w:rFonts w:ascii="宋体" w:hAnsi="宋体"/>
          <w:kern w:val="0"/>
          <w:sz w:val="24"/>
          <w:szCs w:val="24"/>
        </w:rPr>
      </w:pPr>
      <w:r>
        <w:rPr>
          <w:rFonts w:hint="eastAsia" w:ascii="宋体" w:hAnsi="宋体"/>
          <w:sz w:val="24"/>
          <w:szCs w:val="24"/>
        </w:rPr>
        <w:t>(1) 铺装基层三七灰土的厚度为250mm，在路槽中分段人工拌合，要求拌合均匀，湿度合宜，掌握好虚铺厚度。根据设计厚度分为2-4步来施工，每步</w:t>
      </w:r>
      <w:r>
        <w:rPr>
          <w:rFonts w:hint="eastAsia" w:ascii="宋体" w:hAnsi="宋体"/>
          <w:kern w:val="0"/>
          <w:sz w:val="24"/>
          <w:szCs w:val="24"/>
        </w:rPr>
        <w:t>厚度为150 mm，摊铺时的虚铺厚度应在200 mm，灰土拌合完成后应达到手握成团，落地及散的湿度。压实设备选择蛙式打夯机或压路机，达到路基密实度的要求。经隐蔽验收后进入下一道工序</w:t>
      </w:r>
    </w:p>
    <w:p>
      <w:pPr>
        <w:autoSpaceDE w:val="0"/>
        <w:autoSpaceDN w:val="0"/>
        <w:adjustRightInd w:val="0"/>
        <w:spacing w:line="360" w:lineRule="auto"/>
        <w:ind w:firstLine="480" w:firstLineChars="200"/>
        <w:jc w:val="left"/>
        <w:rPr>
          <w:rFonts w:ascii="宋体" w:hAnsi="宋体"/>
          <w:kern w:val="0"/>
          <w:sz w:val="24"/>
          <w:szCs w:val="24"/>
        </w:rPr>
      </w:pPr>
      <w:r>
        <w:rPr>
          <w:rFonts w:hint="eastAsia" w:ascii="宋体" w:hAnsi="宋体"/>
          <w:kern w:val="0"/>
          <w:sz w:val="24"/>
          <w:szCs w:val="24"/>
        </w:rPr>
        <w:t>(2) 铺装基础垫层为100 mm厚C15砼和200 mm厚C25钢筋砼，本工程全部考虑预拌混凝土。施工准备期间需要考察确定搅拌站，并在进场后及时将搅拌站的资质报甲方、监理审批。混凝土到场后，应及时入模振捣，保证质量。</w:t>
      </w:r>
    </w:p>
    <w:p>
      <w:pPr>
        <w:spacing w:line="360" w:lineRule="auto"/>
        <w:ind w:firstLine="480" w:firstLineChars="200"/>
        <w:rPr>
          <w:rFonts w:ascii="宋体" w:hAnsi="宋体"/>
          <w:sz w:val="24"/>
          <w:szCs w:val="24"/>
        </w:rPr>
      </w:pPr>
      <w:r>
        <w:rPr>
          <w:rFonts w:hint="eastAsia" w:ascii="宋体" w:hAnsi="宋体"/>
          <w:kern w:val="0"/>
          <w:sz w:val="24"/>
          <w:szCs w:val="24"/>
        </w:rPr>
        <w:t>设熟练技工负责砼捣固工作，随时检查模板是否变形、位移，保证砼密实度，减少蜂窝、麻面。砼养护、防冻符合规范和作业指导书要求。施工时取同条件养护混凝土试块，作为该垫层强度试验的依据。</w:t>
      </w:r>
    </w:p>
    <w:p>
      <w:pPr>
        <w:autoSpaceDE w:val="0"/>
        <w:autoSpaceDN w:val="0"/>
        <w:adjustRightInd w:val="0"/>
        <w:spacing w:line="360" w:lineRule="auto"/>
        <w:jc w:val="left"/>
        <w:rPr>
          <w:rFonts w:ascii="宋体" w:hAnsi="宋体"/>
          <w:sz w:val="24"/>
          <w:szCs w:val="24"/>
        </w:rPr>
      </w:pPr>
      <w:r>
        <w:rPr>
          <w:rFonts w:hint="eastAsia" w:ascii="宋体" w:hAnsi="宋体"/>
          <w:sz w:val="24"/>
          <w:szCs w:val="24"/>
        </w:rPr>
        <w:t>1.3花岗岩铺装施工工艺和方法</w:t>
      </w:r>
    </w:p>
    <w:p>
      <w:pPr>
        <w:autoSpaceDE w:val="0"/>
        <w:autoSpaceDN w:val="0"/>
        <w:adjustRightInd w:val="0"/>
        <w:spacing w:line="360" w:lineRule="auto"/>
        <w:ind w:firstLine="480" w:firstLineChars="200"/>
        <w:jc w:val="left"/>
        <w:rPr>
          <w:rFonts w:ascii="宋体" w:hAnsi="宋体"/>
          <w:kern w:val="0"/>
          <w:sz w:val="24"/>
          <w:szCs w:val="24"/>
        </w:rPr>
      </w:pPr>
      <w:r>
        <w:rPr>
          <w:rFonts w:hint="eastAsia" w:ascii="宋体" w:hAnsi="宋体"/>
          <w:kern w:val="0"/>
          <w:sz w:val="24"/>
          <w:szCs w:val="24"/>
        </w:rPr>
        <w:t>(1) 工艺流程：</w:t>
      </w:r>
    </w:p>
    <w:p>
      <w:pPr>
        <w:autoSpaceDE w:val="0"/>
        <w:autoSpaceDN w:val="0"/>
        <w:adjustRightInd w:val="0"/>
        <w:spacing w:line="360" w:lineRule="auto"/>
        <w:ind w:firstLine="480" w:firstLineChars="200"/>
        <w:jc w:val="left"/>
        <w:rPr>
          <w:rFonts w:ascii="宋体" w:hAnsi="宋体"/>
          <w:kern w:val="0"/>
          <w:sz w:val="24"/>
          <w:szCs w:val="24"/>
        </w:rPr>
      </w:pPr>
      <w:r>
        <w:rPr>
          <w:rFonts w:hint="eastAsia" w:ascii="宋体" w:hAnsi="宋体"/>
          <w:kern w:val="0"/>
          <w:sz w:val="24"/>
          <w:szCs w:val="24"/>
        </w:rPr>
        <w:t>挑选材料——基层清理——弹线试拼——结合层——铺装面层——灌缝——成品保护</w:t>
      </w:r>
    </w:p>
    <w:p>
      <w:pPr>
        <w:autoSpaceDE w:val="0"/>
        <w:autoSpaceDN w:val="0"/>
        <w:adjustRightInd w:val="0"/>
        <w:spacing w:line="360" w:lineRule="auto"/>
        <w:ind w:firstLine="480" w:firstLineChars="200"/>
        <w:jc w:val="left"/>
        <w:rPr>
          <w:rFonts w:ascii="宋体" w:hAnsi="宋体"/>
          <w:kern w:val="0"/>
          <w:sz w:val="24"/>
          <w:szCs w:val="24"/>
        </w:rPr>
      </w:pPr>
      <w:r>
        <w:rPr>
          <w:rFonts w:hint="eastAsia" w:ascii="宋体" w:hAnsi="宋体"/>
          <w:kern w:val="0"/>
          <w:sz w:val="24"/>
          <w:szCs w:val="24"/>
        </w:rPr>
        <w:t>(2) 花岗岩面层铺装其材质、颜色、表面处理和规格符合设计要求。所有的花岗岩材料都要用石材防护剂进行处理，避免返碱。</w:t>
      </w:r>
    </w:p>
    <w:p>
      <w:pPr>
        <w:autoSpaceDE w:val="0"/>
        <w:autoSpaceDN w:val="0"/>
        <w:adjustRightInd w:val="0"/>
        <w:spacing w:line="360" w:lineRule="auto"/>
        <w:ind w:firstLine="360" w:firstLineChars="150"/>
        <w:jc w:val="left"/>
        <w:rPr>
          <w:rFonts w:ascii="宋体" w:hAnsi="宋体"/>
          <w:kern w:val="0"/>
          <w:sz w:val="24"/>
          <w:szCs w:val="24"/>
        </w:rPr>
      </w:pPr>
      <w:r>
        <w:rPr>
          <w:rFonts w:hint="eastAsia" w:ascii="宋体" w:hAnsi="宋体"/>
          <w:kern w:val="0"/>
          <w:sz w:val="24"/>
          <w:szCs w:val="24"/>
        </w:rPr>
        <w:t xml:space="preserve"> (3) 基层表面在面层施工前应清扫、洒水，加刷素水泥浆或界面剂。结合层砂灰标号、厚度符合设计要求，要求水灰比适中，铺灰饱满。为减少面层污染，完工后加盖彩条布，加强成品保护。</w:t>
      </w:r>
    </w:p>
    <w:p>
      <w:pPr>
        <w:autoSpaceDE w:val="0"/>
        <w:autoSpaceDN w:val="0"/>
        <w:adjustRightInd w:val="0"/>
        <w:spacing w:line="360" w:lineRule="auto"/>
        <w:ind w:firstLine="480" w:firstLineChars="200"/>
        <w:jc w:val="left"/>
        <w:rPr>
          <w:rFonts w:ascii="宋体" w:hAnsi="宋体"/>
          <w:kern w:val="0"/>
          <w:sz w:val="24"/>
          <w:szCs w:val="24"/>
        </w:rPr>
      </w:pPr>
      <w:r>
        <w:rPr>
          <w:rFonts w:hint="eastAsia" w:ascii="宋体" w:hAnsi="宋体"/>
          <w:kern w:val="0"/>
          <w:sz w:val="24"/>
          <w:szCs w:val="24"/>
        </w:rPr>
        <w:t>(4) 花岗岩面层其平整度、坡度、缝隙、砂浆饱满度、空鼓最小面积符合设计要求。</w:t>
      </w:r>
    </w:p>
    <w:p>
      <w:pPr>
        <w:spacing w:line="360" w:lineRule="auto"/>
        <w:ind w:left="1" w:firstLine="540" w:firstLineChars="225"/>
        <w:rPr>
          <w:rFonts w:ascii="宋体" w:hAnsi="宋体"/>
          <w:kern w:val="0"/>
          <w:sz w:val="24"/>
          <w:szCs w:val="24"/>
        </w:rPr>
      </w:pPr>
      <w:r>
        <w:rPr>
          <w:rFonts w:hint="eastAsia" w:ascii="宋体" w:hAnsi="宋体"/>
          <w:kern w:val="0"/>
          <w:sz w:val="24"/>
          <w:szCs w:val="24"/>
        </w:rPr>
        <w:t>(5) 施工过程中要根据设计要求的颜色，挑选规格、厚薄一致的材料。基层处理, 清除粘结在基层、垫层上的杂物、尘土。进行试拼，确定缝隙大小。做出样板，经业主及设计确认后，大面积展开施工。打点充筋确定标高或弹水平标高线，拉线后铺结合层，注意坡度。铺砌后1-2昼夜进行灌缝。操作人员应做到随砌随揩净，严禁在已铺好的面层上拌合砂浆，注意成品保护。</w:t>
      </w:r>
      <w:r>
        <w:rPr>
          <w:rFonts w:hint="eastAsia" w:ascii="宋体" w:hAnsi="宋体"/>
          <w:szCs w:val="21"/>
        </w:rPr>
        <w:t xml:space="preserve"> </w:t>
      </w:r>
    </w:p>
    <w:p>
      <w:pPr>
        <w:spacing w:line="400" w:lineRule="exact"/>
        <w:ind w:right="315" w:rightChars="150"/>
        <w:rPr>
          <w:rFonts w:ascii="宋体" w:hAnsi="宋体"/>
          <w:szCs w:val="21"/>
        </w:rPr>
      </w:pPr>
      <w:r>
        <w:rPr>
          <w:rFonts w:hint="eastAsia" w:ascii="宋体" w:hAnsi="宋体"/>
          <w:szCs w:val="21"/>
        </w:rPr>
        <w:t>1.4园林铺装质量要求</w:t>
      </w:r>
    </w:p>
    <w:p>
      <w:pPr>
        <w:spacing w:line="360" w:lineRule="auto"/>
        <w:ind w:right="315" w:rightChars="150"/>
        <w:jc w:val="center"/>
        <w:rPr>
          <w:rFonts w:ascii="宋体" w:hAnsi="宋体"/>
          <w:szCs w:val="21"/>
        </w:rPr>
      </w:pPr>
      <w:r>
        <w:rPr>
          <w:rFonts w:hint="eastAsia" w:ascii="宋体" w:hAnsi="宋体"/>
          <w:szCs w:val="21"/>
        </w:rPr>
        <w:t>各种块料面层相邻两块的高低允许偏差</w:t>
      </w:r>
    </w:p>
    <w:tbl>
      <w:tblPr>
        <w:tblStyle w:val="4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4"/>
        <w:gridCol w:w="4672"/>
        <w:gridCol w:w="28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序号</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块料面层名称</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1</w:t>
            </w:r>
          </w:p>
        </w:tc>
        <w:tc>
          <w:tcPr>
            <w:tcW w:w="4672"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条石面层</w:t>
            </w:r>
          </w:p>
        </w:tc>
        <w:tc>
          <w:tcPr>
            <w:tcW w:w="2886"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2</w:t>
            </w:r>
          </w:p>
        </w:tc>
        <w:tc>
          <w:tcPr>
            <w:tcW w:w="4672"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普通粘土砖、混凝土面层</w:t>
            </w:r>
          </w:p>
        </w:tc>
        <w:tc>
          <w:tcPr>
            <w:tcW w:w="2886"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3</w:t>
            </w:r>
          </w:p>
        </w:tc>
        <w:tc>
          <w:tcPr>
            <w:tcW w:w="4672"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陶瓷地砖、水泥花砖、混凝土渗水砖</w:t>
            </w:r>
          </w:p>
        </w:tc>
        <w:tc>
          <w:tcPr>
            <w:tcW w:w="2886"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4</w:t>
            </w:r>
          </w:p>
        </w:tc>
        <w:tc>
          <w:tcPr>
            <w:tcW w:w="4672"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大理石、花岗岩、拼花木板</w:t>
            </w:r>
          </w:p>
        </w:tc>
        <w:tc>
          <w:tcPr>
            <w:tcW w:w="2886" w:type="dxa"/>
            <w:tcBorders>
              <w:top w:val="single" w:color="auto" w:sz="4" w:space="0"/>
              <w:left w:val="nil"/>
              <w:bottom w:val="single" w:color="auto" w:sz="4" w:space="0"/>
              <w:right w:val="single" w:color="auto" w:sz="4" w:space="0"/>
            </w:tcBorders>
          </w:tcPr>
          <w:p>
            <w:pPr>
              <w:spacing w:line="360" w:lineRule="auto"/>
              <w:ind w:right="315" w:rightChars="150"/>
              <w:jc w:val="center"/>
              <w:rPr>
                <w:rFonts w:ascii="宋体" w:hAnsi="宋体"/>
                <w:szCs w:val="21"/>
              </w:rPr>
            </w:pPr>
            <w:r>
              <w:rPr>
                <w:rFonts w:hint="eastAsia" w:ascii="宋体" w:hAnsi="宋体"/>
                <w:szCs w:val="21"/>
              </w:rPr>
              <w:t>0.5</w:t>
            </w:r>
          </w:p>
        </w:tc>
      </w:tr>
    </w:tbl>
    <w:p>
      <w:pPr>
        <w:spacing w:line="360" w:lineRule="auto"/>
        <w:ind w:right="315" w:rightChars="150"/>
        <w:rPr>
          <w:rFonts w:ascii="宋体" w:hAnsi="宋体"/>
          <w:szCs w:val="21"/>
        </w:rPr>
      </w:pPr>
      <w:r>
        <w:rPr>
          <w:rFonts w:hint="eastAsia" w:ascii="宋体" w:hAnsi="宋体"/>
          <w:szCs w:val="21"/>
        </w:rPr>
        <w:t xml:space="preserve"> </w:t>
      </w:r>
    </w:p>
    <w:p>
      <w:pPr>
        <w:spacing w:line="360" w:lineRule="auto"/>
        <w:ind w:right="315" w:rightChars="150"/>
        <w:jc w:val="center"/>
        <w:rPr>
          <w:rFonts w:ascii="宋体" w:hAnsi="宋体"/>
          <w:szCs w:val="21"/>
        </w:rPr>
      </w:pPr>
      <w:r>
        <w:rPr>
          <w:rFonts w:hint="eastAsia" w:ascii="宋体" w:hAnsi="宋体"/>
          <w:szCs w:val="21"/>
        </w:rPr>
        <w:t xml:space="preserve"> </w:t>
      </w:r>
    </w:p>
    <w:p>
      <w:pPr>
        <w:spacing w:line="360" w:lineRule="auto"/>
        <w:ind w:right="315" w:rightChars="150"/>
        <w:jc w:val="center"/>
        <w:rPr>
          <w:rFonts w:ascii="宋体" w:hAnsi="宋体"/>
          <w:szCs w:val="21"/>
        </w:rPr>
      </w:pPr>
      <w:r>
        <w:rPr>
          <w:rFonts w:hint="eastAsia" w:ascii="宋体" w:hAnsi="宋体"/>
          <w:szCs w:val="21"/>
        </w:rPr>
        <w:t>各种块料面层行列（接缝）直线度允许偏差（5米长度内）</w:t>
      </w:r>
    </w:p>
    <w:tbl>
      <w:tblPr>
        <w:tblStyle w:val="4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4"/>
        <w:gridCol w:w="4672"/>
        <w:gridCol w:w="28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序号</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块料面层名称</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条石面层</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2</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普通粘土砖、混凝土面层</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3</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马赛克、缸砖、陶瓷地砖、水泥花砖、混凝土渗水砖</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64"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4</w:t>
            </w:r>
          </w:p>
        </w:tc>
        <w:tc>
          <w:tcPr>
            <w:tcW w:w="4672"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大理石、花岗岩、拼花木板</w:t>
            </w:r>
          </w:p>
        </w:tc>
        <w:tc>
          <w:tcPr>
            <w:tcW w:w="2886"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2</w:t>
            </w:r>
          </w:p>
        </w:tc>
      </w:tr>
    </w:tbl>
    <w:p>
      <w:pPr>
        <w:spacing w:line="360" w:lineRule="auto"/>
        <w:ind w:right="315" w:rightChars="150"/>
        <w:jc w:val="center"/>
        <w:rPr>
          <w:rFonts w:ascii="宋体" w:hAnsi="宋体"/>
          <w:szCs w:val="21"/>
        </w:rPr>
      </w:pPr>
      <w:r>
        <w:rPr>
          <w:rFonts w:hint="eastAsia" w:ascii="宋体" w:hAnsi="宋体"/>
          <w:szCs w:val="21"/>
        </w:rPr>
        <w:t xml:space="preserve"> </w:t>
      </w:r>
    </w:p>
    <w:p>
      <w:pPr>
        <w:spacing w:line="360" w:lineRule="auto"/>
        <w:ind w:right="315" w:rightChars="150"/>
        <w:jc w:val="center"/>
        <w:rPr>
          <w:rFonts w:ascii="宋体" w:hAnsi="宋体"/>
          <w:szCs w:val="21"/>
        </w:rPr>
      </w:pPr>
      <w:r>
        <w:rPr>
          <w:rFonts w:hint="eastAsia" w:ascii="宋体" w:hAnsi="宋体"/>
          <w:szCs w:val="21"/>
        </w:rPr>
        <w:t>各层表面平整度允许偏差（2米直尺检查）</w:t>
      </w:r>
    </w:p>
    <w:tbl>
      <w:tblPr>
        <w:tblStyle w:val="4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015"/>
        <w:gridCol w:w="4355"/>
        <w:gridCol w:w="21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序号</w:t>
            </w:r>
          </w:p>
        </w:tc>
        <w:tc>
          <w:tcPr>
            <w:tcW w:w="101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层次</w:t>
            </w: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材料名称</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允许偏差（mm）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w:t>
            </w:r>
          </w:p>
        </w:tc>
        <w:tc>
          <w:tcPr>
            <w:tcW w:w="1015" w:type="dxa"/>
            <w:vMerge w:val="restart"/>
            <w:tcBorders>
              <w:top w:val="nil"/>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垫层</w:t>
            </w: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砂石、碎石、卵石、碎砖</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2</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灰土、炉渣、水泥混凝土</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3</w:t>
            </w:r>
          </w:p>
        </w:tc>
        <w:tc>
          <w:tcPr>
            <w:tcW w:w="1015" w:type="dxa"/>
            <w:vMerge w:val="restart"/>
            <w:tcBorders>
              <w:top w:val="nil"/>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面层</w:t>
            </w: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条石、块石</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4</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水泥混凝土、水泥沙浆、沥青混凝土</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5</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缸砖、混凝土块面层</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6</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水磨石、碎拼大理石、水泥花砖、木板面层</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7</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马赛克、陶瓷地砖、拼花木板</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959" w:type="dxa"/>
            <w:tcBorders>
              <w:top w:val="single" w:color="auto" w:sz="4" w:space="0"/>
              <w:left w:val="single" w:color="auto" w:sz="4" w:space="0"/>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8</w:t>
            </w:r>
          </w:p>
        </w:tc>
        <w:tc>
          <w:tcPr>
            <w:tcW w:w="1015" w:type="dxa"/>
            <w:vMerge w:val="continue"/>
            <w:tcBorders>
              <w:top w:val="nil"/>
              <w:left w:val="nil"/>
              <w:bottom w:val="single" w:color="auto" w:sz="4" w:space="0"/>
              <w:right w:val="single" w:color="auto" w:sz="4" w:space="0"/>
            </w:tcBorders>
            <w:vAlign w:val="center"/>
          </w:tcPr>
          <w:p>
            <w:pPr>
              <w:widowControl/>
              <w:jc w:val="left"/>
              <w:rPr>
                <w:rFonts w:ascii="宋体" w:hAnsi="宋体"/>
                <w:szCs w:val="21"/>
              </w:rPr>
            </w:pPr>
          </w:p>
        </w:tc>
        <w:tc>
          <w:tcPr>
            <w:tcW w:w="4355"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大理石、花岗石面层</w:t>
            </w:r>
          </w:p>
        </w:tc>
        <w:tc>
          <w:tcPr>
            <w:tcW w:w="2193" w:type="dxa"/>
            <w:tcBorders>
              <w:top w:val="single" w:color="auto" w:sz="4" w:space="0"/>
              <w:left w:val="nil"/>
              <w:bottom w:val="single" w:color="auto" w:sz="4" w:space="0"/>
              <w:right w:val="single" w:color="auto" w:sz="4" w:space="0"/>
            </w:tcBorders>
            <w:vAlign w:val="center"/>
          </w:tcPr>
          <w:p>
            <w:pPr>
              <w:spacing w:line="360" w:lineRule="auto"/>
              <w:ind w:right="315" w:rightChars="150"/>
              <w:jc w:val="center"/>
              <w:rPr>
                <w:rFonts w:ascii="宋体" w:hAnsi="宋体"/>
                <w:szCs w:val="21"/>
              </w:rPr>
            </w:pPr>
            <w:r>
              <w:rPr>
                <w:rFonts w:hint="eastAsia" w:ascii="宋体" w:hAnsi="宋体"/>
                <w:szCs w:val="21"/>
              </w:rPr>
              <w:t>1</w:t>
            </w:r>
          </w:p>
        </w:tc>
      </w:tr>
    </w:tbl>
    <w:p>
      <w:pPr>
        <w:spacing w:line="440" w:lineRule="exact"/>
        <w:rPr>
          <w:rFonts w:ascii="宋体" w:hAnsi="宋体"/>
          <w:kern w:val="0"/>
          <w:szCs w:val="21"/>
        </w:rPr>
      </w:pPr>
      <w:r>
        <w:rPr>
          <w:rFonts w:hint="eastAsia" w:ascii="宋体" w:hAnsi="宋体"/>
          <w:kern w:val="0"/>
          <w:szCs w:val="21"/>
        </w:rPr>
        <w:t xml:space="preserve"> </w:t>
      </w:r>
    </w:p>
    <w:p>
      <w:pPr>
        <w:spacing w:line="360" w:lineRule="auto"/>
        <w:rPr>
          <w:rFonts w:ascii="宋体" w:hAnsi="宋体"/>
          <w:kern w:val="0"/>
          <w:sz w:val="24"/>
          <w:szCs w:val="24"/>
        </w:rPr>
      </w:pPr>
      <w:r>
        <w:rPr>
          <w:rFonts w:hint="eastAsia" w:ascii="宋体" w:hAnsi="宋体"/>
          <w:kern w:val="0"/>
          <w:sz w:val="24"/>
          <w:szCs w:val="24"/>
        </w:rPr>
        <w:t>1.5</w:t>
      </w:r>
      <w:r>
        <w:rPr>
          <w:rFonts w:hint="eastAsia" w:ascii="宋体" w:hAnsi="宋体"/>
          <w:sz w:val="24"/>
          <w:szCs w:val="24"/>
        </w:rPr>
        <w:t>园路及路牙石的主要施工方法</w:t>
      </w:r>
    </w:p>
    <w:p>
      <w:pPr>
        <w:spacing w:line="360" w:lineRule="auto"/>
        <w:rPr>
          <w:rFonts w:ascii="宋体" w:hAnsi="宋体"/>
          <w:sz w:val="24"/>
          <w:szCs w:val="24"/>
        </w:rPr>
      </w:pPr>
      <w:r>
        <w:rPr>
          <w:rFonts w:hint="eastAsia" w:ascii="宋体" w:hAnsi="宋体"/>
          <w:sz w:val="24"/>
          <w:szCs w:val="24"/>
        </w:rPr>
        <w:t>1、测量放线：</w:t>
      </w:r>
    </w:p>
    <w:p>
      <w:pPr>
        <w:spacing w:line="360" w:lineRule="auto"/>
        <w:rPr>
          <w:rFonts w:ascii="宋体" w:hAnsi="宋体"/>
          <w:sz w:val="24"/>
          <w:szCs w:val="24"/>
        </w:rPr>
      </w:pPr>
      <w:r>
        <w:rPr>
          <w:rFonts w:hint="eastAsia" w:ascii="宋体" w:hAnsi="宋体"/>
          <w:sz w:val="24"/>
          <w:szCs w:val="24"/>
        </w:rPr>
        <w:t>①中线复测和固定</w:t>
      </w:r>
    </w:p>
    <w:p>
      <w:pPr>
        <w:spacing w:line="360" w:lineRule="auto"/>
        <w:rPr>
          <w:rFonts w:ascii="宋体" w:hAnsi="宋体"/>
          <w:sz w:val="24"/>
          <w:szCs w:val="24"/>
        </w:rPr>
      </w:pPr>
      <w:r>
        <w:rPr>
          <w:rFonts w:hint="eastAsia" w:ascii="宋体" w:hAnsi="宋体"/>
          <w:sz w:val="24"/>
          <w:szCs w:val="24"/>
        </w:rPr>
        <w:t>a.复测并固定施工路线主要控制点，恢复失落的中桩。</w:t>
      </w:r>
    </w:p>
    <w:p>
      <w:pPr>
        <w:spacing w:line="360" w:lineRule="auto"/>
        <w:rPr>
          <w:rFonts w:ascii="宋体" w:hAnsi="宋体"/>
          <w:sz w:val="24"/>
          <w:szCs w:val="24"/>
        </w:rPr>
      </w:pPr>
      <w:r>
        <w:rPr>
          <w:rFonts w:hint="eastAsia" w:ascii="宋体" w:hAnsi="宋体"/>
          <w:sz w:val="24"/>
          <w:szCs w:val="24"/>
        </w:rPr>
        <w:t>b.复测并固定为间接测量所布设的控制点，如三角点，导线点等桩。</w:t>
      </w:r>
    </w:p>
    <w:p>
      <w:pPr>
        <w:spacing w:line="360" w:lineRule="auto"/>
        <w:rPr>
          <w:rFonts w:ascii="宋体" w:hAnsi="宋体"/>
          <w:sz w:val="24"/>
          <w:szCs w:val="24"/>
        </w:rPr>
      </w:pPr>
      <w:r>
        <w:rPr>
          <w:rFonts w:hint="eastAsia" w:ascii="宋体" w:hAnsi="宋体"/>
          <w:sz w:val="24"/>
          <w:szCs w:val="24"/>
        </w:rPr>
        <w:t>c.当路线的主要控制点在施工中有被挖掉或埋掉的可能性，则视当地地形条件和地物情况采用有效的方法进行固定。</w:t>
      </w:r>
    </w:p>
    <w:p>
      <w:pPr>
        <w:spacing w:line="360" w:lineRule="auto"/>
        <w:rPr>
          <w:rFonts w:ascii="宋体" w:hAnsi="宋体"/>
          <w:sz w:val="24"/>
          <w:szCs w:val="24"/>
        </w:rPr>
      </w:pPr>
      <w:r>
        <w:rPr>
          <w:rFonts w:hint="eastAsia" w:ascii="宋体" w:hAnsi="宋体"/>
          <w:sz w:val="24"/>
          <w:szCs w:val="24"/>
        </w:rPr>
        <w:t>②路线高程复测</w:t>
      </w:r>
    </w:p>
    <w:p>
      <w:pPr>
        <w:spacing w:line="360" w:lineRule="auto"/>
        <w:rPr>
          <w:rFonts w:ascii="宋体" w:hAnsi="宋体"/>
          <w:sz w:val="24"/>
          <w:szCs w:val="24"/>
        </w:rPr>
      </w:pPr>
      <w:r>
        <w:rPr>
          <w:rFonts w:hint="eastAsia" w:ascii="宋体" w:hAnsi="宋体"/>
          <w:sz w:val="24"/>
          <w:szCs w:val="24"/>
        </w:rPr>
        <w:t>中线恢复后，马上进行纵横断面的水平测量，以复测原水准基点标高和控制点地面标高。</w:t>
      </w:r>
    </w:p>
    <w:p>
      <w:pPr>
        <w:spacing w:line="360" w:lineRule="auto"/>
        <w:rPr>
          <w:rFonts w:ascii="宋体" w:hAnsi="宋体"/>
          <w:sz w:val="24"/>
          <w:szCs w:val="24"/>
        </w:rPr>
      </w:pPr>
      <w:r>
        <w:rPr>
          <w:rFonts w:hint="eastAsia" w:ascii="宋体" w:hAnsi="宋体"/>
          <w:sz w:val="24"/>
          <w:szCs w:val="24"/>
        </w:rPr>
        <w:t>③横断面的检查和补测</w:t>
      </w:r>
    </w:p>
    <w:p>
      <w:pPr>
        <w:spacing w:line="360" w:lineRule="auto"/>
        <w:rPr>
          <w:rFonts w:ascii="宋体" w:hAnsi="宋体"/>
          <w:sz w:val="24"/>
          <w:szCs w:val="24"/>
        </w:rPr>
      </w:pPr>
      <w:r>
        <w:rPr>
          <w:rFonts w:hint="eastAsia" w:ascii="宋体" w:hAnsi="宋体"/>
          <w:sz w:val="24"/>
          <w:szCs w:val="24"/>
        </w:rPr>
        <w:t>④路基放样</w:t>
      </w:r>
    </w:p>
    <w:p>
      <w:pPr>
        <w:spacing w:line="360" w:lineRule="auto"/>
        <w:rPr>
          <w:rFonts w:ascii="宋体" w:hAnsi="宋体"/>
          <w:sz w:val="24"/>
          <w:szCs w:val="24"/>
        </w:rPr>
      </w:pPr>
      <w:r>
        <w:rPr>
          <w:rFonts w:hint="eastAsia" w:ascii="宋体" w:hAnsi="宋体"/>
          <w:sz w:val="24"/>
          <w:szCs w:val="24"/>
        </w:rPr>
        <w:t>根据设计图表定出各路线中桩的路基边缘具体位置，以便定出路基轮廓，在测量放样时以明显示标志标识。</w:t>
      </w:r>
    </w:p>
    <w:p>
      <w:pPr>
        <w:spacing w:line="360" w:lineRule="auto"/>
        <w:rPr>
          <w:rFonts w:ascii="宋体" w:hAnsi="宋体"/>
          <w:sz w:val="24"/>
          <w:szCs w:val="24"/>
        </w:rPr>
      </w:pPr>
      <w:r>
        <w:rPr>
          <w:rFonts w:hint="eastAsia" w:ascii="宋体" w:hAnsi="宋体"/>
          <w:sz w:val="24"/>
          <w:szCs w:val="24"/>
        </w:rPr>
        <w:t>⑤道路中线、边线及标高复测，均用测量复核记录表做好记录，并送监理工程师认可。</w:t>
      </w:r>
    </w:p>
    <w:p>
      <w:pPr>
        <w:spacing w:line="360" w:lineRule="auto"/>
        <w:rPr>
          <w:rFonts w:ascii="宋体" w:hAnsi="宋体"/>
          <w:sz w:val="24"/>
          <w:szCs w:val="24"/>
        </w:rPr>
      </w:pPr>
      <w:r>
        <w:rPr>
          <w:rFonts w:hint="eastAsia" w:ascii="宋体" w:hAnsi="宋体"/>
          <w:sz w:val="24"/>
          <w:szCs w:val="24"/>
        </w:rPr>
        <w:t>2、道路路基施工</w:t>
      </w:r>
    </w:p>
    <w:p>
      <w:pPr>
        <w:spacing w:line="360" w:lineRule="auto"/>
        <w:rPr>
          <w:rFonts w:ascii="宋体" w:hAnsi="宋体"/>
          <w:sz w:val="24"/>
          <w:szCs w:val="24"/>
        </w:rPr>
      </w:pPr>
      <w:r>
        <w:rPr>
          <w:rFonts w:hint="eastAsia" w:ascii="宋体" w:hAnsi="宋体"/>
          <w:sz w:val="24"/>
          <w:szCs w:val="24"/>
        </w:rPr>
        <w:t>①清运土方</w:t>
      </w:r>
    </w:p>
    <w:p>
      <w:pPr>
        <w:spacing w:line="360" w:lineRule="auto"/>
        <w:rPr>
          <w:rFonts w:ascii="宋体" w:hAnsi="宋体"/>
          <w:sz w:val="24"/>
          <w:szCs w:val="24"/>
        </w:rPr>
      </w:pPr>
      <w:r>
        <w:rPr>
          <w:rFonts w:hint="eastAsia" w:ascii="宋体" w:hAnsi="宋体"/>
          <w:sz w:val="24"/>
          <w:szCs w:val="24"/>
        </w:rPr>
        <w:t>土方的运输，严格按照珠海市有关散体物料运输的规定进行，运输车辆符合散体物理材料运输车的规定，沿途不撒漏，在业主指定的地点堆放。</w:t>
      </w:r>
    </w:p>
    <w:p>
      <w:pPr>
        <w:spacing w:line="360" w:lineRule="auto"/>
        <w:rPr>
          <w:rFonts w:ascii="宋体" w:hAnsi="宋体"/>
          <w:sz w:val="24"/>
          <w:szCs w:val="24"/>
        </w:rPr>
      </w:pPr>
      <w:r>
        <w:rPr>
          <w:rFonts w:hint="eastAsia" w:ascii="宋体" w:hAnsi="宋体"/>
          <w:sz w:val="24"/>
          <w:szCs w:val="24"/>
        </w:rPr>
        <w:t>根据路基标高情况，清运土方时，在路基标高上预留10cm土层，作为路基碾压的预留高度。</w:t>
      </w:r>
    </w:p>
    <w:p>
      <w:pPr>
        <w:spacing w:line="360" w:lineRule="auto"/>
        <w:rPr>
          <w:rFonts w:ascii="宋体" w:hAnsi="宋体"/>
          <w:sz w:val="24"/>
          <w:szCs w:val="24"/>
        </w:rPr>
      </w:pPr>
      <w:r>
        <w:rPr>
          <w:rFonts w:hint="eastAsia" w:ascii="宋体" w:hAnsi="宋体"/>
          <w:sz w:val="24"/>
          <w:szCs w:val="24"/>
        </w:rPr>
        <w:t>②路基检查</w:t>
      </w:r>
    </w:p>
    <w:p>
      <w:pPr>
        <w:spacing w:line="360" w:lineRule="auto"/>
        <w:rPr>
          <w:rFonts w:ascii="宋体" w:hAnsi="宋体"/>
          <w:sz w:val="24"/>
          <w:szCs w:val="24"/>
        </w:rPr>
      </w:pPr>
      <w:r>
        <w:rPr>
          <w:rFonts w:hint="eastAsia" w:ascii="宋体" w:hAnsi="宋体"/>
          <w:sz w:val="24"/>
          <w:szCs w:val="24"/>
        </w:rPr>
        <w:t>在挖掘机挖走土、石方后，根据地质情况，土质不好的地方采用挖淤换土，压路机碾压前，根据测量人员放出的路基标高，用人工进行路基检平，检平时预留10cm土层作为碾压时的预沉高度。</w:t>
      </w:r>
    </w:p>
    <w:p>
      <w:pPr>
        <w:spacing w:line="360" w:lineRule="auto"/>
        <w:rPr>
          <w:rFonts w:ascii="宋体" w:hAnsi="宋体"/>
          <w:sz w:val="24"/>
          <w:szCs w:val="24"/>
        </w:rPr>
      </w:pPr>
      <w:r>
        <w:rPr>
          <w:rFonts w:hint="eastAsia" w:ascii="宋体" w:hAnsi="宋体"/>
          <w:sz w:val="24"/>
          <w:szCs w:val="24"/>
        </w:rPr>
        <w:t>③路基碾压</w:t>
      </w:r>
    </w:p>
    <w:p>
      <w:pPr>
        <w:spacing w:line="360" w:lineRule="auto"/>
        <w:rPr>
          <w:rFonts w:ascii="宋体" w:hAnsi="宋体"/>
          <w:sz w:val="24"/>
          <w:szCs w:val="24"/>
        </w:rPr>
      </w:pPr>
      <w:r>
        <w:rPr>
          <w:rFonts w:hint="eastAsia" w:ascii="宋体" w:hAnsi="宋体"/>
          <w:sz w:val="24"/>
          <w:szCs w:val="24"/>
        </w:rPr>
        <w:t>压实分段分区进行骑缝碾压。分段长度约为100米，按试验后经监理确定的参数执行。在机械碾压不到的部位则采用蛙式夯实机进行夯实，在排水管位置回填时必须配合反滤体的施工。采用机械施工时，必须与人工夯实相配合。分段碾压的相邻交接带碾迹应彼此搭接，搭接长度不小于0.5m，垂直碾压方向搭接宽度就不小于3m，避免搭接点的遗漏。曲面碾压采用内侧向外侧，纵向进退的方法进行碾压。</w:t>
      </w:r>
    </w:p>
    <w:p>
      <w:pPr>
        <w:spacing w:line="360" w:lineRule="auto"/>
        <w:rPr>
          <w:rFonts w:ascii="宋体" w:hAnsi="宋体"/>
          <w:sz w:val="24"/>
          <w:szCs w:val="24"/>
        </w:rPr>
      </w:pPr>
      <w:r>
        <w:rPr>
          <w:rFonts w:hint="eastAsia" w:ascii="宋体" w:hAnsi="宋体"/>
          <w:sz w:val="24"/>
          <w:szCs w:val="24"/>
        </w:rPr>
        <w:t>④质量标准</w:t>
      </w:r>
    </w:p>
    <w:p>
      <w:pPr>
        <w:spacing w:line="360" w:lineRule="auto"/>
        <w:rPr>
          <w:rFonts w:ascii="宋体" w:hAnsi="宋体"/>
          <w:sz w:val="24"/>
          <w:szCs w:val="24"/>
        </w:rPr>
      </w:pPr>
      <w:r>
        <w:rPr>
          <w:rFonts w:hint="eastAsia" w:ascii="宋体" w:hAnsi="宋体"/>
          <w:sz w:val="24"/>
          <w:szCs w:val="24"/>
        </w:rPr>
        <w:t>a.经碾压后路床不得有翻浆、弹簧、波浪、积水等现象。</w:t>
      </w:r>
    </w:p>
    <w:p>
      <w:pPr>
        <w:spacing w:line="360" w:lineRule="auto"/>
        <w:rPr>
          <w:rFonts w:ascii="宋体" w:hAnsi="宋体"/>
          <w:sz w:val="24"/>
          <w:szCs w:val="24"/>
        </w:rPr>
      </w:pPr>
      <w:r>
        <w:rPr>
          <w:rFonts w:hint="eastAsia" w:ascii="宋体" w:hAnsi="宋体"/>
          <w:sz w:val="24"/>
          <w:szCs w:val="24"/>
        </w:rPr>
        <w:t>b.路基细检平压平成型后，平整度允许偏差在20。</w:t>
      </w:r>
    </w:p>
    <w:p>
      <w:pPr>
        <w:spacing w:line="360" w:lineRule="auto"/>
        <w:ind w:firstLine="482" w:firstLineChars="200"/>
        <w:rPr>
          <w:rFonts w:ascii="宋体" w:hAnsi="宋体"/>
          <w:b/>
          <w:sz w:val="24"/>
          <w:szCs w:val="24"/>
        </w:rPr>
      </w:pPr>
      <w:r>
        <w:rPr>
          <w:rFonts w:hint="eastAsia" w:ascii="宋体" w:hAnsi="宋体"/>
          <w:b/>
          <w:sz w:val="24"/>
          <w:szCs w:val="24"/>
        </w:rPr>
        <w:t>五、钢筋混凝土结构施工工艺和方法</w:t>
      </w:r>
    </w:p>
    <w:p>
      <w:pPr>
        <w:spacing w:line="360" w:lineRule="auto"/>
        <w:ind w:firstLine="480" w:firstLineChars="200"/>
        <w:rPr>
          <w:rFonts w:ascii="宋体" w:hAnsi="宋体"/>
          <w:sz w:val="24"/>
          <w:szCs w:val="24"/>
        </w:rPr>
      </w:pPr>
      <w:r>
        <w:rPr>
          <w:rFonts w:hint="eastAsia" w:ascii="宋体" w:hAnsi="宋体"/>
          <w:sz w:val="24"/>
          <w:szCs w:val="24"/>
        </w:rPr>
        <w:t>本工程中钢筋混凝土结构多为小型结构，异性较多，施工难度较大，施工中重点控制点如下：</w:t>
      </w:r>
    </w:p>
    <w:p>
      <w:pPr>
        <w:spacing w:line="360" w:lineRule="auto"/>
        <w:ind w:firstLine="482" w:firstLineChars="200"/>
        <w:rPr>
          <w:rFonts w:ascii="宋体" w:hAnsi="宋体"/>
          <w:sz w:val="24"/>
          <w:szCs w:val="24"/>
        </w:rPr>
      </w:pPr>
      <w:r>
        <w:rPr>
          <w:rFonts w:hint="eastAsia" w:ascii="宋体" w:hAnsi="宋体"/>
          <w:b/>
          <w:bCs/>
          <w:sz w:val="24"/>
          <w:szCs w:val="24"/>
        </w:rPr>
        <w:t>钢筋工程</w:t>
      </w:r>
      <w:r>
        <w:rPr>
          <w:rFonts w:hint="eastAsia" w:ascii="宋体" w:hAnsi="宋体"/>
          <w:sz w:val="24"/>
          <w:szCs w:val="24"/>
        </w:rPr>
        <w:t>：</w:t>
      </w:r>
    </w:p>
    <w:p>
      <w:pPr>
        <w:spacing w:line="360" w:lineRule="auto"/>
        <w:ind w:firstLine="480" w:firstLineChars="200"/>
        <w:rPr>
          <w:rFonts w:ascii="宋体" w:hAnsi="宋体"/>
          <w:sz w:val="24"/>
          <w:szCs w:val="24"/>
        </w:rPr>
      </w:pPr>
      <w:r>
        <w:rPr>
          <w:rFonts w:hint="eastAsia" w:ascii="宋体" w:hAnsi="宋体"/>
          <w:sz w:val="24"/>
          <w:szCs w:val="24"/>
        </w:rPr>
        <w:t>钢筋规格/型号符合设计要求。钢筋作业场所搭设简易工棚，室外存放钢材要求标识准确，加盖防水苫布，避免生锈。</w:t>
      </w:r>
    </w:p>
    <w:p>
      <w:pPr>
        <w:spacing w:line="360" w:lineRule="auto"/>
        <w:ind w:firstLine="480" w:firstLineChars="200"/>
        <w:rPr>
          <w:rFonts w:ascii="宋体" w:hAnsi="宋体"/>
          <w:sz w:val="24"/>
          <w:szCs w:val="24"/>
        </w:rPr>
      </w:pPr>
      <w:r>
        <w:rPr>
          <w:rFonts w:hint="eastAsia" w:ascii="宋体" w:hAnsi="宋体"/>
          <w:sz w:val="24"/>
          <w:szCs w:val="24"/>
        </w:rPr>
        <w:t>钢筋加工前应进行人工除锈，钢筋绑扎搭接长度≥30D。其搭接方案符合规范要求，钢筋工程要求绘制钢筋加工表。</w:t>
      </w:r>
    </w:p>
    <w:p>
      <w:pPr>
        <w:spacing w:line="360" w:lineRule="auto"/>
        <w:ind w:firstLine="480" w:firstLineChars="200"/>
        <w:rPr>
          <w:rFonts w:ascii="宋体" w:hAnsi="宋体"/>
          <w:sz w:val="24"/>
          <w:szCs w:val="24"/>
        </w:rPr>
      </w:pPr>
      <w:r>
        <w:rPr>
          <w:rFonts w:hint="eastAsia" w:ascii="宋体" w:hAnsi="宋体"/>
          <w:sz w:val="24"/>
          <w:szCs w:val="24"/>
        </w:rPr>
        <w:t>钢筋绑扎严格按规范执行，下部垫垫块，绑丝用火烧丝，绑扎间距符合要求。</w:t>
      </w:r>
    </w:p>
    <w:p>
      <w:pPr>
        <w:spacing w:line="360" w:lineRule="auto"/>
        <w:ind w:firstLine="482" w:firstLineChars="200"/>
        <w:rPr>
          <w:rFonts w:ascii="宋体" w:hAnsi="宋体"/>
          <w:b/>
          <w:bCs/>
          <w:sz w:val="24"/>
          <w:szCs w:val="24"/>
        </w:rPr>
      </w:pPr>
      <w:r>
        <w:rPr>
          <w:rFonts w:hint="eastAsia" w:ascii="宋体" w:hAnsi="宋体"/>
          <w:b/>
          <w:bCs/>
          <w:sz w:val="24"/>
          <w:szCs w:val="24"/>
        </w:rPr>
        <w:t>模板工程：</w:t>
      </w:r>
    </w:p>
    <w:p>
      <w:pPr>
        <w:spacing w:line="360" w:lineRule="auto"/>
        <w:ind w:firstLine="480" w:firstLineChars="200"/>
        <w:rPr>
          <w:rFonts w:ascii="宋体" w:hAnsi="宋体"/>
          <w:sz w:val="24"/>
          <w:szCs w:val="24"/>
        </w:rPr>
      </w:pPr>
      <w:r>
        <w:rPr>
          <w:rFonts w:hint="eastAsia" w:ascii="宋体" w:hAnsi="宋体"/>
          <w:sz w:val="24"/>
          <w:szCs w:val="24"/>
        </w:rPr>
        <w:t>小型结构很难用标准钢模板进行支模，要求根据结构尺寸设计模板组装图，一般用钢木混合模板编排。支模时要事先设计支护方案，施工时严格执行，避免混凝土施工时出现跑模，造成结构尺寸的偏差为后续的饰面施工造成无法实施的局面。</w:t>
      </w:r>
    </w:p>
    <w:p>
      <w:pPr>
        <w:spacing w:line="360" w:lineRule="auto"/>
        <w:ind w:firstLine="482" w:firstLineChars="200"/>
        <w:rPr>
          <w:rFonts w:ascii="宋体" w:hAnsi="宋体"/>
          <w:sz w:val="24"/>
          <w:szCs w:val="24"/>
        </w:rPr>
      </w:pPr>
      <w:r>
        <w:rPr>
          <w:rFonts w:hint="eastAsia" w:ascii="宋体" w:hAnsi="宋体"/>
          <w:b/>
          <w:bCs/>
          <w:sz w:val="24"/>
          <w:szCs w:val="24"/>
        </w:rPr>
        <w:t>混凝土工程</w:t>
      </w:r>
      <w:r>
        <w:rPr>
          <w:rFonts w:hint="eastAsia" w:ascii="宋体" w:hAnsi="宋体"/>
          <w:sz w:val="24"/>
          <w:szCs w:val="24"/>
        </w:rPr>
        <w:t>：</w:t>
      </w:r>
    </w:p>
    <w:p>
      <w:pPr>
        <w:spacing w:line="360" w:lineRule="auto"/>
        <w:ind w:firstLine="480" w:firstLineChars="200"/>
        <w:rPr>
          <w:rFonts w:ascii="宋体" w:hAnsi="宋体"/>
          <w:sz w:val="24"/>
          <w:szCs w:val="24"/>
        </w:rPr>
      </w:pPr>
      <w:r>
        <w:rPr>
          <w:rFonts w:hint="eastAsia" w:ascii="宋体" w:hAnsi="宋体"/>
          <w:sz w:val="24"/>
          <w:szCs w:val="24"/>
        </w:rPr>
        <w:t>混凝土全部采用预拌混凝土，可以保证混凝土的到场质量。但是每次浇注混凝土前一定要精确计算需要的量，保证不浪费、保证到场混凝土能及时使用。</w:t>
      </w:r>
    </w:p>
    <w:p>
      <w:pPr>
        <w:spacing w:line="360" w:lineRule="auto"/>
        <w:ind w:firstLine="480" w:firstLineChars="200"/>
        <w:rPr>
          <w:rFonts w:ascii="宋体" w:hAnsi="宋体"/>
          <w:sz w:val="24"/>
          <w:szCs w:val="24"/>
        </w:rPr>
      </w:pPr>
      <w:r>
        <w:rPr>
          <w:rFonts w:hint="eastAsia" w:ascii="宋体" w:hAnsi="宋体"/>
          <w:sz w:val="24"/>
          <w:szCs w:val="24"/>
        </w:rPr>
        <w:t>设熟练技工负责砼捣固工作，随时检查模板是否变形、位移，保证砼密实度，减少蜂窝、麻面。</w:t>
      </w:r>
    </w:p>
    <w:p>
      <w:pPr>
        <w:spacing w:line="360" w:lineRule="auto"/>
        <w:ind w:firstLine="480" w:firstLineChars="200"/>
        <w:rPr>
          <w:rFonts w:ascii="宋体" w:hAnsi="宋体"/>
          <w:sz w:val="24"/>
          <w:szCs w:val="24"/>
        </w:rPr>
      </w:pPr>
      <w:r>
        <w:rPr>
          <w:rFonts w:hint="eastAsia" w:ascii="宋体" w:hAnsi="宋体"/>
          <w:sz w:val="24"/>
          <w:szCs w:val="24"/>
        </w:rPr>
        <w:t>砼养护、防冻符合规范和作业指导书要求。</w:t>
      </w:r>
    </w:p>
    <w:p>
      <w:pPr>
        <w:spacing w:line="360" w:lineRule="auto"/>
        <w:ind w:firstLine="482" w:firstLineChars="200"/>
        <w:rPr>
          <w:rFonts w:ascii="宋体" w:hAnsi="宋体"/>
          <w:b/>
          <w:sz w:val="24"/>
          <w:szCs w:val="24"/>
        </w:rPr>
      </w:pPr>
      <w:r>
        <w:rPr>
          <w:rFonts w:hint="eastAsia" w:ascii="宋体" w:hAnsi="宋体"/>
          <w:b/>
          <w:sz w:val="24"/>
          <w:szCs w:val="24"/>
        </w:rPr>
        <w:t>六、防水施工工艺和方法</w:t>
      </w:r>
    </w:p>
    <w:p>
      <w:pPr>
        <w:spacing w:line="360" w:lineRule="auto"/>
        <w:ind w:firstLine="480" w:firstLineChars="200"/>
        <w:rPr>
          <w:rFonts w:ascii="宋体" w:hAnsi="宋体"/>
          <w:sz w:val="24"/>
          <w:szCs w:val="24"/>
        </w:rPr>
      </w:pPr>
      <w:r>
        <w:rPr>
          <w:rFonts w:hint="eastAsia" w:ascii="宋体" w:hAnsi="宋体"/>
          <w:sz w:val="24"/>
          <w:szCs w:val="24"/>
        </w:rPr>
        <w:t>施工流程：抹水泥砂浆找平层——刷冷底子油——铺贴沥青卷材</w:t>
      </w:r>
    </w:p>
    <w:p>
      <w:pPr>
        <w:spacing w:line="360" w:lineRule="auto"/>
        <w:ind w:firstLine="360" w:firstLineChars="150"/>
        <w:rPr>
          <w:rFonts w:ascii="宋体" w:hAnsi="宋体"/>
          <w:sz w:val="24"/>
          <w:szCs w:val="24"/>
        </w:rPr>
      </w:pPr>
      <w:r>
        <w:rPr>
          <w:rFonts w:hint="eastAsia" w:ascii="宋体" w:hAnsi="宋体"/>
          <w:sz w:val="24"/>
          <w:szCs w:val="24"/>
        </w:rPr>
        <w:t>（1）冷底子油配合比（重量比），沥青30～40%，汽油70～60%，用“冷配”方法，如需加热配制，必须有安全措施。</w:t>
      </w:r>
    </w:p>
    <w:p>
      <w:pPr>
        <w:spacing w:line="360" w:lineRule="auto"/>
        <w:ind w:firstLine="360" w:firstLineChars="150"/>
        <w:rPr>
          <w:rFonts w:ascii="宋体" w:hAnsi="宋体"/>
          <w:sz w:val="24"/>
          <w:szCs w:val="24"/>
        </w:rPr>
      </w:pPr>
      <w:r>
        <w:rPr>
          <w:rFonts w:hint="eastAsia" w:ascii="宋体" w:hAnsi="宋体"/>
          <w:sz w:val="24"/>
          <w:szCs w:val="24"/>
        </w:rPr>
        <w:t>（2）在铺贴沥青卷材外砌筑永久保护墙，除有专项指定，一般用外覆钢纱网抹水泥砂浆作为防水卷材的保护层。</w:t>
      </w:r>
    </w:p>
    <w:p>
      <w:pPr>
        <w:spacing w:line="360" w:lineRule="auto"/>
        <w:ind w:firstLine="360" w:firstLineChars="150"/>
        <w:rPr>
          <w:rFonts w:ascii="宋体" w:hAnsi="宋体"/>
          <w:sz w:val="24"/>
          <w:szCs w:val="24"/>
        </w:rPr>
      </w:pPr>
      <w:r>
        <w:rPr>
          <w:rFonts w:hint="eastAsia" w:ascii="宋体" w:hAnsi="宋体"/>
          <w:sz w:val="24"/>
          <w:szCs w:val="24"/>
        </w:rPr>
        <w:t>（3）铺贴表面必须干燥、清洁、平整，用不低于50号的水泥砂浆抹找平层，厚度10～15mm，找平层应抹平压实，阴阳角抹成圆角。</w:t>
      </w:r>
    </w:p>
    <w:p>
      <w:pPr>
        <w:spacing w:line="360" w:lineRule="auto"/>
        <w:ind w:firstLine="360" w:firstLineChars="150"/>
        <w:rPr>
          <w:rFonts w:ascii="宋体" w:hAnsi="宋体"/>
          <w:sz w:val="24"/>
          <w:szCs w:val="24"/>
        </w:rPr>
      </w:pPr>
      <w:r>
        <w:rPr>
          <w:rFonts w:hint="eastAsia" w:ascii="宋体" w:hAnsi="宋体"/>
          <w:sz w:val="24"/>
          <w:szCs w:val="24"/>
        </w:rPr>
        <w:t>（4）潮湿表面（含水量≥9%）不得涂刷冷底子油，不得有气泡、漏刷等现象。</w:t>
      </w:r>
    </w:p>
    <w:p>
      <w:pPr>
        <w:spacing w:line="360" w:lineRule="auto"/>
        <w:ind w:firstLine="360" w:firstLineChars="150"/>
        <w:rPr>
          <w:rFonts w:ascii="宋体" w:hAnsi="宋体"/>
          <w:sz w:val="24"/>
          <w:szCs w:val="24"/>
        </w:rPr>
      </w:pPr>
      <w:r>
        <w:rPr>
          <w:rFonts w:hint="eastAsia" w:ascii="宋体" w:hAnsi="宋体"/>
          <w:sz w:val="24"/>
          <w:szCs w:val="24"/>
        </w:rPr>
        <w:t>（5）卷材搭茬，长边搭接宽度≥100mm，短边搭接宽度≥150mm，接缝应错开。</w:t>
      </w:r>
    </w:p>
    <w:p>
      <w:pPr>
        <w:spacing w:line="360" w:lineRule="auto"/>
        <w:ind w:firstLine="360" w:firstLineChars="150"/>
        <w:rPr>
          <w:rFonts w:ascii="宋体" w:hAnsi="宋体"/>
          <w:sz w:val="24"/>
          <w:szCs w:val="24"/>
        </w:rPr>
      </w:pPr>
      <w:r>
        <w:rPr>
          <w:rFonts w:hint="eastAsia" w:ascii="宋体" w:hAnsi="宋体"/>
          <w:sz w:val="24"/>
          <w:szCs w:val="24"/>
        </w:rPr>
        <w:t>（6）管道穿防水墙时应铺贴附加层，用穿墙法兰压紧，穿墙法兰的形式结构见施工图。</w:t>
      </w:r>
    </w:p>
    <w:p>
      <w:pPr>
        <w:spacing w:line="360" w:lineRule="auto"/>
        <w:ind w:firstLine="480" w:firstLineChars="200"/>
        <w:rPr>
          <w:sz w:val="24"/>
          <w:szCs w:val="24"/>
        </w:rPr>
      </w:pPr>
      <w:r>
        <w:rPr>
          <w:rFonts w:hint="eastAsia" w:ascii="宋体" w:hAnsi="宋体"/>
          <w:sz w:val="24"/>
          <w:szCs w:val="24"/>
        </w:rPr>
        <w:t>(7)全部卷材铺贴完后，应全部涂刷沥青或沥青玛蒂脂。</w:t>
      </w:r>
    </w:p>
    <w:p>
      <w:pPr>
        <w:spacing w:line="360" w:lineRule="auto"/>
        <w:ind w:firstLine="482" w:firstLineChars="200"/>
        <w:rPr>
          <w:sz w:val="24"/>
          <w:szCs w:val="24"/>
        </w:rPr>
      </w:pPr>
      <w:r>
        <w:rPr>
          <w:rFonts w:hint="eastAsia"/>
          <w:b/>
          <w:sz w:val="24"/>
          <w:szCs w:val="24"/>
        </w:rPr>
        <w:t>七、</w:t>
      </w:r>
      <w:r>
        <w:rPr>
          <w:rFonts w:hint="eastAsia" w:ascii="宋体" w:hAnsi="宋体"/>
          <w:b/>
          <w:bCs/>
          <w:sz w:val="24"/>
          <w:szCs w:val="24"/>
        </w:rPr>
        <w:t>给排水施工工艺流程和施工方法</w:t>
      </w:r>
    </w:p>
    <w:p>
      <w:pPr>
        <w:spacing w:line="360" w:lineRule="auto"/>
        <w:rPr>
          <w:rFonts w:ascii="宋体" w:hAnsi="宋体"/>
          <w:sz w:val="24"/>
          <w:szCs w:val="24"/>
        </w:rPr>
      </w:pPr>
      <w:r>
        <w:rPr>
          <w:rFonts w:hint="eastAsia" w:ascii="宋体" w:hAnsi="宋体"/>
          <w:sz w:val="24"/>
          <w:szCs w:val="24"/>
        </w:rPr>
        <w:t xml:space="preserve">1.1给排水工程施工工艺 </w:t>
      </w:r>
    </w:p>
    <w:p>
      <w:pPr>
        <w:spacing w:line="360" w:lineRule="auto"/>
        <w:ind w:firstLine="480"/>
        <w:rPr>
          <w:rFonts w:ascii="宋体" w:hAnsi="宋体"/>
          <w:sz w:val="24"/>
          <w:szCs w:val="24"/>
        </w:rPr>
      </w:pPr>
      <w:r>
        <w:rPr>
          <w:rFonts w:hint="eastAsia" w:ascii="宋体" w:hAnsi="宋体"/>
          <w:sz w:val="24"/>
          <w:szCs w:val="24"/>
        </w:rPr>
        <w:t>施工工艺流程：</w:t>
      </w:r>
    </w:p>
    <w:p>
      <w:pPr>
        <w:spacing w:line="360" w:lineRule="auto"/>
        <w:ind w:firstLine="480"/>
        <w:rPr>
          <w:rFonts w:ascii="宋体" w:hAnsi="宋体"/>
          <w:sz w:val="24"/>
          <w:szCs w:val="24"/>
        </w:rPr>
      </w:pPr>
      <w:r>
        <w:rPr>
          <w:rFonts w:hint="eastAsia" w:ascii="宋体" w:hAnsi="宋体"/>
          <w:sz w:val="24"/>
          <w:szCs w:val="24"/>
        </w:rPr>
        <w:t>清理施工现场----测量放线----开挖沟槽----铺设管道----水压试验----管道冲洗----验收----回填----系统设备安装</w:t>
      </w:r>
    </w:p>
    <w:p>
      <w:pPr>
        <w:spacing w:line="360" w:lineRule="auto"/>
        <w:rPr>
          <w:rFonts w:ascii="宋体" w:hAnsi="宋体"/>
          <w:sz w:val="24"/>
          <w:szCs w:val="24"/>
        </w:rPr>
      </w:pPr>
      <w:r>
        <w:rPr>
          <w:rFonts w:hint="eastAsia" w:ascii="宋体" w:hAnsi="宋体"/>
          <w:sz w:val="24"/>
          <w:szCs w:val="24"/>
        </w:rPr>
        <w:t>1.2开挖沟槽：</w:t>
      </w:r>
    </w:p>
    <w:p>
      <w:pPr>
        <w:spacing w:line="360" w:lineRule="auto"/>
        <w:ind w:firstLine="480" w:firstLineChars="200"/>
        <w:rPr>
          <w:rFonts w:ascii="宋体" w:hAnsi="宋体"/>
          <w:sz w:val="24"/>
          <w:szCs w:val="24"/>
        </w:rPr>
      </w:pPr>
      <w:r>
        <w:rPr>
          <w:rFonts w:hint="eastAsia" w:ascii="宋体" w:hAnsi="宋体"/>
          <w:sz w:val="24"/>
          <w:szCs w:val="24"/>
        </w:rPr>
        <w:t>开挖沟槽的施工程序是定位放线、挖槽、沟槽基底侧壁处理、验收。</w:t>
      </w:r>
    </w:p>
    <w:p>
      <w:pPr>
        <w:spacing w:line="360" w:lineRule="auto"/>
        <w:ind w:firstLine="480" w:firstLineChars="200"/>
        <w:rPr>
          <w:rFonts w:ascii="宋体" w:hAnsi="宋体"/>
          <w:sz w:val="24"/>
          <w:szCs w:val="24"/>
        </w:rPr>
      </w:pPr>
      <w:r>
        <w:rPr>
          <w:rFonts w:hint="eastAsia" w:ascii="宋体" w:hAnsi="宋体"/>
          <w:sz w:val="24"/>
          <w:szCs w:val="24"/>
        </w:rPr>
        <w:t>定位放线：先按施工图测出管道的坐标及走向后，按图示方位打桩放线，确定沟槽位置、开挖宽度、深度等。</w:t>
      </w:r>
    </w:p>
    <w:p>
      <w:pPr>
        <w:spacing w:line="360" w:lineRule="auto"/>
        <w:ind w:firstLine="480" w:firstLineChars="200"/>
        <w:rPr>
          <w:rFonts w:ascii="宋体" w:hAnsi="宋体"/>
          <w:sz w:val="24"/>
          <w:szCs w:val="24"/>
        </w:rPr>
      </w:pPr>
      <w:r>
        <w:rPr>
          <w:rFonts w:hint="eastAsia" w:ascii="宋体" w:hAnsi="宋体"/>
          <w:sz w:val="24"/>
          <w:szCs w:val="24"/>
        </w:rPr>
        <w:t>挖槽：采用人工挖槽槽帮必须按1：0.33放坡，开挖出的土方堆放在沟槽的一侧。若在砂土或在砂壤土地区施工，如果沟槽与当地的主风向相交，应将土方堆置在沟槽的下风口一侧，以免刮风造成自然回填。土堆边缘与沟边的距离不得小于0.5米，堆土高度不得超过1.5米，堆土时注意不得掩埋消火栓、管道闸阀、雨水口、测量标志及各种地下管道的井盖，且不得妨碍其正常使用。开槽中若遇有其他专业的管道、电缆、地下构筑物或文物古迹等时，应及时与甲方、有关单位及设计部门联系，协同处理。</w:t>
      </w:r>
    </w:p>
    <w:p>
      <w:pPr>
        <w:spacing w:line="360" w:lineRule="auto"/>
        <w:ind w:firstLine="480" w:firstLineChars="200"/>
        <w:rPr>
          <w:rFonts w:ascii="宋体" w:hAnsi="宋体"/>
          <w:sz w:val="24"/>
          <w:szCs w:val="24"/>
        </w:rPr>
      </w:pPr>
      <w:r>
        <w:rPr>
          <w:rFonts w:hint="eastAsia" w:ascii="宋体" w:hAnsi="宋体"/>
          <w:sz w:val="24"/>
          <w:szCs w:val="24"/>
        </w:rPr>
        <w:t>沟槽基底侧壁处理：要求沟底是坚实的自然土层，若为松土层夯实。若沟槽底部为石块、砖砾等硬物时，可将沟槽多挖深100cm-200cm，清除石块等硬物，再用砂土回填夯实。同时保证沟槽侧壁土层质量，若土层过松，可在沟槽侧壁支撑模板保护，以防沟槽坍塌伤人。</w:t>
      </w:r>
    </w:p>
    <w:p>
      <w:pPr>
        <w:spacing w:line="360" w:lineRule="auto"/>
        <w:ind w:firstLine="480" w:firstLineChars="200"/>
        <w:rPr>
          <w:rFonts w:ascii="宋体" w:hAnsi="宋体"/>
          <w:sz w:val="24"/>
          <w:szCs w:val="24"/>
        </w:rPr>
      </w:pPr>
      <w:r>
        <w:rPr>
          <w:rFonts w:hint="eastAsia" w:ascii="宋体" w:hAnsi="宋体"/>
          <w:sz w:val="24"/>
          <w:szCs w:val="24"/>
        </w:rPr>
        <w:t>验收：槽底清理完毕后根据施工图检查管沟坐标、深度、平直程度、沟底坡向等，若局部过深或深度不够，则需整改。检验合格后方可进行下道工序。</w:t>
      </w:r>
    </w:p>
    <w:p>
      <w:pPr>
        <w:spacing w:line="360" w:lineRule="auto"/>
        <w:rPr>
          <w:rFonts w:ascii="宋体" w:hAnsi="宋体"/>
          <w:sz w:val="24"/>
          <w:szCs w:val="24"/>
        </w:rPr>
      </w:pPr>
      <w:r>
        <w:rPr>
          <w:rFonts w:hint="eastAsia" w:ascii="宋体" w:hAnsi="宋体"/>
          <w:sz w:val="24"/>
          <w:szCs w:val="24"/>
        </w:rPr>
        <w:t>1.3铺设管道包括下管、稳管和管道接口处理:</w:t>
      </w:r>
    </w:p>
    <w:p>
      <w:pPr>
        <w:spacing w:line="360" w:lineRule="auto"/>
        <w:ind w:firstLine="480" w:firstLineChars="200"/>
        <w:rPr>
          <w:rFonts w:ascii="宋体" w:hAnsi="宋体"/>
          <w:sz w:val="24"/>
          <w:szCs w:val="24"/>
        </w:rPr>
      </w:pPr>
      <w:r>
        <w:rPr>
          <w:rFonts w:hint="eastAsia" w:ascii="宋体" w:hAnsi="宋体"/>
          <w:sz w:val="24"/>
          <w:szCs w:val="24"/>
        </w:rPr>
        <w:t>选材：管材、管件及配件的材料规格、压力等级、质量等均应符合设计要求和施工规范，进场时必须由甲方和监理检验验收，合格后方可使用。</w:t>
      </w:r>
    </w:p>
    <w:p>
      <w:pPr>
        <w:spacing w:line="360" w:lineRule="auto"/>
        <w:ind w:firstLine="480" w:firstLineChars="200"/>
        <w:rPr>
          <w:rFonts w:ascii="宋体" w:hAnsi="宋体"/>
          <w:sz w:val="24"/>
          <w:szCs w:val="24"/>
        </w:rPr>
      </w:pPr>
      <w:r>
        <w:rPr>
          <w:rFonts w:hint="eastAsia" w:ascii="宋体" w:hAnsi="宋体"/>
          <w:sz w:val="24"/>
          <w:szCs w:val="24"/>
        </w:rPr>
        <w:t>管道安装：安装时采用人工下管，下管前先在管身下方铺设砂垫层，厚度不小于10cm。管道安装时应慢慢落到沟底，每根管须对准沟槽中心线。管道安装过程中，随时清扫管道中的杂物，给水管道暂时停止安装时，将管道两端临时封堵，防止进入杂物。管道逐节安装完毕后应进行复测，合格后方可安装下一节管道。雨期施工时应注意合理缩短开槽长度，及时砌筑检查井。暂时中断安装的管道应临时封堵，防止雨水夹杂杂物流入，已安装完毕的管道及时验收回填。沟槽中如有积水及时排出，不允许沟槽内长时间积水，更不允许在沟槽内有积水的情况下敷设管道，且雨天不得进行管道接口施工。</w:t>
      </w:r>
    </w:p>
    <w:p>
      <w:pPr>
        <w:spacing w:line="360" w:lineRule="auto"/>
        <w:rPr>
          <w:rFonts w:ascii="宋体" w:hAnsi="宋体"/>
          <w:sz w:val="24"/>
          <w:szCs w:val="24"/>
        </w:rPr>
      </w:pPr>
      <w:r>
        <w:rPr>
          <w:rFonts w:hint="eastAsia" w:ascii="宋体" w:hAnsi="宋体"/>
          <w:sz w:val="24"/>
          <w:szCs w:val="24"/>
        </w:rPr>
        <w:t>1.4水压试验：</w:t>
      </w:r>
    </w:p>
    <w:p>
      <w:pPr>
        <w:spacing w:line="360" w:lineRule="auto"/>
        <w:ind w:firstLine="480" w:firstLineChars="200"/>
        <w:rPr>
          <w:rFonts w:ascii="宋体" w:hAnsi="宋体"/>
          <w:sz w:val="24"/>
          <w:szCs w:val="24"/>
        </w:rPr>
      </w:pPr>
      <w:r>
        <w:rPr>
          <w:rFonts w:hint="eastAsia" w:ascii="宋体" w:hAnsi="宋体"/>
          <w:sz w:val="24"/>
          <w:szCs w:val="24"/>
        </w:rPr>
        <w:t>管道安装完毕后，采取分段的形式打压，基本上保证随做随打，以免影响后序工程，可80-100m打压一次，打压时应逐步升压，每次升0.2MPA为宜。升至工作压力后，停泵检查，不渗不漏。继续升至试验压力，观察压力表10分钟内压降不应超过0.05MPA，管道、管件、接口位置不应渗漏，然后降至工作压力，进行外观检查，不渗不漏为合格。</w:t>
      </w:r>
    </w:p>
    <w:p>
      <w:pPr>
        <w:spacing w:line="360" w:lineRule="auto"/>
        <w:rPr>
          <w:rFonts w:ascii="宋体" w:hAnsi="宋体"/>
          <w:sz w:val="24"/>
          <w:szCs w:val="24"/>
        </w:rPr>
      </w:pPr>
      <w:r>
        <w:rPr>
          <w:rFonts w:hint="eastAsia" w:ascii="宋体" w:hAnsi="宋体"/>
          <w:sz w:val="24"/>
          <w:szCs w:val="24"/>
        </w:rPr>
        <w:t>1.5检查井砌筑：</w:t>
      </w:r>
    </w:p>
    <w:p>
      <w:pPr>
        <w:spacing w:line="360" w:lineRule="auto"/>
        <w:ind w:firstLine="480" w:firstLineChars="200"/>
        <w:rPr>
          <w:rFonts w:ascii="宋体" w:hAnsi="宋体"/>
          <w:sz w:val="24"/>
          <w:szCs w:val="24"/>
        </w:rPr>
      </w:pPr>
      <w:r>
        <w:rPr>
          <w:rFonts w:hint="eastAsia" w:ascii="宋体" w:hAnsi="宋体"/>
          <w:sz w:val="24"/>
          <w:szCs w:val="24"/>
        </w:rPr>
        <w:t>在已安装完毕的给水管道检查井位置,放出检查井中心位置线,按检查井半径摆出井壁砌墙位置.</w:t>
      </w:r>
    </w:p>
    <w:p>
      <w:pPr>
        <w:spacing w:line="360" w:lineRule="auto"/>
        <w:ind w:firstLine="570"/>
        <w:rPr>
          <w:rFonts w:ascii="宋体" w:hAnsi="宋体"/>
          <w:sz w:val="24"/>
          <w:szCs w:val="24"/>
        </w:rPr>
      </w:pPr>
      <w:r>
        <w:rPr>
          <w:rFonts w:hint="eastAsia" w:ascii="宋体" w:hAnsi="宋体"/>
          <w:sz w:val="24"/>
          <w:szCs w:val="24"/>
        </w:rPr>
        <w:t>在检查井基础面上,先铺砂浆后再砌砖,一般圆形检查井采用240mm墙砌筑。采用内缝小、外缝大的摆砖方案，外灰缝用碎砖填缝，以减少砂浆用量。每层砖上下皮竖灰缝应错开。随砌筑随检查弧形尺寸。</w:t>
      </w:r>
    </w:p>
    <w:p>
      <w:pPr>
        <w:spacing w:line="360" w:lineRule="auto"/>
        <w:ind w:firstLine="570"/>
        <w:rPr>
          <w:rFonts w:ascii="宋体" w:hAnsi="宋体"/>
          <w:sz w:val="24"/>
          <w:szCs w:val="24"/>
        </w:rPr>
      </w:pPr>
      <w:r>
        <w:rPr>
          <w:rFonts w:hint="eastAsia" w:ascii="宋体" w:hAnsi="宋体"/>
          <w:sz w:val="24"/>
          <w:szCs w:val="24"/>
        </w:rPr>
        <w:t>井内踏步，应随砌、随安、随坐浆，其埋入深度不得小于设计规定。踏步安装后，在砌筑砂浆未达到规定强度前，不得踩踏。</w:t>
      </w:r>
    </w:p>
    <w:p>
      <w:pPr>
        <w:spacing w:line="360" w:lineRule="auto"/>
        <w:rPr>
          <w:rFonts w:ascii="宋体" w:hAnsi="宋体"/>
          <w:sz w:val="24"/>
          <w:szCs w:val="24"/>
        </w:rPr>
      </w:pPr>
      <w:r>
        <w:rPr>
          <w:rFonts w:hint="eastAsia" w:ascii="宋体" w:hAnsi="宋体"/>
          <w:sz w:val="24"/>
          <w:szCs w:val="24"/>
        </w:rPr>
        <w:t>1.6管道冲洗：</w:t>
      </w:r>
    </w:p>
    <w:p>
      <w:pPr>
        <w:spacing w:line="360" w:lineRule="auto"/>
        <w:ind w:firstLine="480" w:firstLineChars="200"/>
        <w:rPr>
          <w:rFonts w:ascii="宋体" w:hAnsi="宋体"/>
          <w:sz w:val="24"/>
          <w:szCs w:val="24"/>
        </w:rPr>
      </w:pPr>
      <w:r>
        <w:rPr>
          <w:rFonts w:hint="eastAsia" w:ascii="宋体" w:hAnsi="宋体"/>
          <w:sz w:val="24"/>
          <w:szCs w:val="24"/>
        </w:rPr>
        <w:t>分段冲洗或整个系统安装完结后进行冲洗。冲洗前拆除管道上已安装的水表，加入短管代替，并隔断与其他正常供水管线的联系。冲水时用高速水流冲洗管道，直至所排出的水无杂质。</w:t>
      </w:r>
    </w:p>
    <w:p>
      <w:pPr>
        <w:spacing w:line="360" w:lineRule="auto"/>
        <w:rPr>
          <w:rFonts w:ascii="宋体" w:hAnsi="宋体"/>
          <w:sz w:val="24"/>
          <w:szCs w:val="24"/>
        </w:rPr>
      </w:pPr>
      <w:r>
        <w:rPr>
          <w:rFonts w:hint="eastAsia" w:ascii="宋体" w:hAnsi="宋体"/>
          <w:sz w:val="24"/>
          <w:szCs w:val="24"/>
        </w:rPr>
        <w:t>1.7回填：</w:t>
      </w:r>
    </w:p>
    <w:p>
      <w:pPr>
        <w:spacing w:line="360" w:lineRule="auto"/>
        <w:ind w:firstLine="480" w:firstLineChars="200"/>
        <w:rPr>
          <w:rFonts w:ascii="宋体" w:hAnsi="宋体"/>
          <w:sz w:val="24"/>
          <w:szCs w:val="24"/>
        </w:rPr>
      </w:pPr>
      <w:r>
        <w:rPr>
          <w:rFonts w:hint="eastAsia" w:ascii="宋体" w:hAnsi="宋体"/>
          <w:sz w:val="24"/>
          <w:szCs w:val="24"/>
        </w:rPr>
        <w:t>管道安装完毕并经水压试验及泄水试验合格后方可进行沟槽回填，宜采用人工回填。沟槽回填应分两步完成，先部分回填，再全部回填。部分回填是指管道以上约100mm范围的回填。一般采用砂土或筛过的原土回填，其中不应含有砖瓦、砾石或其他杂质硬物。管道两侧应分层夯实，禁止用石块或砖砾等杂物单侧回填。对于UPVC管，填土前应对管道压力充水，充水压力应接近管道的工作压力。防止在回填过程中管道挤压变形，造成过水断面压力减小，影响浇灌系统的水力条件。全部回填采用符合要求的原土，要求用轻夯或踩实的方案分层回填，一次填土100-150mm。在回填至管顶上50cm后，可用小型打夯机夯实。检查井周围人工用木夯夯实。直至回填到高出地面100mm左右为止。回填到位后必须对整个沟槽进行水夯，使回填土充分下沉。以免绿化工程完成后出现局部下陷，影响绿化效果。</w:t>
      </w:r>
    </w:p>
    <w:p>
      <w:pPr>
        <w:spacing w:line="360" w:lineRule="auto"/>
        <w:rPr>
          <w:rFonts w:ascii="宋体" w:hAnsi="宋体"/>
          <w:sz w:val="24"/>
          <w:szCs w:val="24"/>
        </w:rPr>
      </w:pPr>
      <w:r>
        <w:rPr>
          <w:rFonts w:hint="eastAsia" w:ascii="宋体" w:hAnsi="宋体"/>
          <w:sz w:val="24"/>
          <w:szCs w:val="24"/>
        </w:rPr>
        <w:t>1.8系统设备安装：</w:t>
      </w:r>
    </w:p>
    <w:p>
      <w:pPr>
        <w:spacing w:line="360" w:lineRule="auto"/>
        <w:ind w:firstLine="360" w:firstLineChars="150"/>
        <w:rPr>
          <w:rFonts w:ascii="宋体" w:hAnsi="宋体"/>
          <w:sz w:val="24"/>
          <w:szCs w:val="24"/>
        </w:rPr>
      </w:pPr>
      <w:r>
        <w:rPr>
          <w:rFonts w:hint="eastAsia" w:ascii="宋体" w:hAnsi="宋体"/>
          <w:sz w:val="24"/>
          <w:szCs w:val="24"/>
        </w:rPr>
        <w:t>给水系统主要是水泵、人工手动取水龙头以及水表、阀门安装。按照国家相关规范严格要求，保证施工质量和使用功能。</w:t>
      </w:r>
    </w:p>
    <w:p>
      <w:pPr>
        <w:spacing w:line="360" w:lineRule="auto"/>
        <w:ind w:firstLine="422" w:firstLineChars="200"/>
        <w:rPr>
          <w:rFonts w:ascii="宋体" w:hAnsi="宋体"/>
          <w:sz w:val="24"/>
          <w:szCs w:val="24"/>
        </w:rPr>
      </w:pPr>
      <w:r>
        <w:rPr>
          <w:rFonts w:hint="eastAsia"/>
          <w:b/>
          <w:bCs/>
          <w:szCs w:val="21"/>
        </w:rPr>
        <w:t>八、雨排水工程施工工艺流程和施工方法</w:t>
      </w:r>
    </w:p>
    <w:p>
      <w:pPr>
        <w:spacing w:line="360" w:lineRule="auto"/>
        <w:ind w:firstLine="480" w:firstLineChars="200"/>
        <w:rPr>
          <w:rFonts w:ascii="宋体" w:hAnsi="宋体"/>
          <w:sz w:val="24"/>
          <w:szCs w:val="24"/>
        </w:rPr>
      </w:pPr>
      <w:r>
        <w:rPr>
          <w:rFonts w:hint="eastAsia" w:ascii="宋体" w:hAnsi="宋体"/>
          <w:sz w:val="24"/>
          <w:szCs w:val="24"/>
        </w:rPr>
        <w:t>施工工艺流程：</w:t>
      </w:r>
    </w:p>
    <w:p>
      <w:pPr>
        <w:spacing w:line="360" w:lineRule="auto"/>
        <w:ind w:firstLine="480" w:firstLineChars="200"/>
        <w:rPr>
          <w:rFonts w:ascii="宋体" w:hAnsi="宋体"/>
          <w:sz w:val="24"/>
          <w:szCs w:val="24"/>
        </w:rPr>
      </w:pPr>
      <w:r>
        <w:rPr>
          <w:rFonts w:hint="eastAsia" w:ascii="宋体" w:hAnsi="宋体"/>
          <w:sz w:val="24"/>
          <w:szCs w:val="24"/>
        </w:rPr>
        <w:t>测量放线—开挖沟槽—铺设管道—闭水试验—验收—回填</w:t>
      </w:r>
    </w:p>
    <w:p>
      <w:pPr>
        <w:spacing w:line="360" w:lineRule="auto"/>
        <w:rPr>
          <w:rFonts w:ascii="宋体" w:hAnsi="宋体"/>
          <w:sz w:val="24"/>
          <w:szCs w:val="24"/>
        </w:rPr>
      </w:pPr>
      <w:r>
        <w:rPr>
          <w:rFonts w:hint="eastAsia" w:ascii="宋体" w:hAnsi="宋体"/>
          <w:sz w:val="24"/>
          <w:szCs w:val="24"/>
        </w:rPr>
        <w:t>1.1开挖沟槽：</w:t>
      </w:r>
    </w:p>
    <w:p>
      <w:pPr>
        <w:spacing w:line="360" w:lineRule="auto"/>
        <w:ind w:firstLine="480" w:firstLineChars="200"/>
        <w:rPr>
          <w:rFonts w:ascii="宋体" w:hAnsi="宋体"/>
          <w:sz w:val="24"/>
          <w:szCs w:val="24"/>
        </w:rPr>
      </w:pPr>
      <w:r>
        <w:rPr>
          <w:rFonts w:hint="eastAsia" w:ascii="宋体" w:hAnsi="宋体"/>
          <w:sz w:val="24"/>
          <w:szCs w:val="24"/>
        </w:rPr>
        <w:t>开挖沟槽的施工程序是定位放线、挖槽、地沟基层处理、验收。</w:t>
      </w:r>
    </w:p>
    <w:p>
      <w:pPr>
        <w:spacing w:line="360" w:lineRule="auto"/>
        <w:ind w:firstLine="480" w:firstLineChars="200"/>
        <w:rPr>
          <w:rFonts w:ascii="宋体" w:hAnsi="宋体"/>
          <w:sz w:val="24"/>
          <w:szCs w:val="24"/>
        </w:rPr>
      </w:pPr>
      <w:r>
        <w:rPr>
          <w:rFonts w:hint="eastAsia" w:ascii="宋体" w:hAnsi="宋体"/>
          <w:sz w:val="24"/>
          <w:szCs w:val="24"/>
        </w:rPr>
        <w:t>定位放线：先按施工图测出管道的坐标及走向后，在按施工图图示方位打桩放线，确定沟槽位置、宽度。</w:t>
      </w:r>
    </w:p>
    <w:p>
      <w:pPr>
        <w:spacing w:line="360" w:lineRule="auto"/>
        <w:ind w:firstLine="480" w:firstLineChars="200"/>
        <w:rPr>
          <w:rFonts w:ascii="宋体" w:hAnsi="宋体"/>
          <w:sz w:val="24"/>
          <w:szCs w:val="24"/>
        </w:rPr>
      </w:pPr>
      <w:r>
        <w:rPr>
          <w:rFonts w:hint="eastAsia" w:ascii="宋体" w:hAnsi="宋体"/>
          <w:sz w:val="24"/>
          <w:szCs w:val="24"/>
        </w:rPr>
        <w:t>挖槽：采用人工挖槽，槽帮必须放坡，定为1:0.33，土方堆放在沟槽的一侧，土堆底边与沟边的距离不得小于0.5m。</w:t>
      </w:r>
    </w:p>
    <w:p>
      <w:pPr>
        <w:spacing w:line="360" w:lineRule="auto"/>
        <w:ind w:firstLine="480"/>
        <w:rPr>
          <w:rFonts w:ascii="宋体" w:hAnsi="宋体"/>
          <w:sz w:val="24"/>
          <w:szCs w:val="24"/>
        </w:rPr>
      </w:pPr>
      <w:r>
        <w:rPr>
          <w:rFonts w:hint="eastAsia" w:ascii="宋体" w:hAnsi="宋体"/>
          <w:sz w:val="24"/>
          <w:szCs w:val="24"/>
        </w:rPr>
        <w:t>地沟基层处理：要求沟底是坚实的自然土层，松土层夯实，挖掉大于150mm块石后，铺回填土，整平夯实或用黄沙铺平。</w:t>
      </w:r>
    </w:p>
    <w:p>
      <w:pPr>
        <w:spacing w:line="360" w:lineRule="auto"/>
        <w:ind w:firstLine="480"/>
        <w:rPr>
          <w:rFonts w:ascii="宋体" w:hAnsi="宋体"/>
          <w:sz w:val="24"/>
          <w:szCs w:val="24"/>
        </w:rPr>
      </w:pPr>
      <w:r>
        <w:rPr>
          <w:rFonts w:hint="eastAsia" w:ascii="宋体" w:hAnsi="宋体"/>
          <w:sz w:val="24"/>
          <w:szCs w:val="24"/>
        </w:rPr>
        <w:t>验收：槽底清理完毕后根据施工图检查管沟坐标、深度、平直程度，如局部超挖，则应进行换填处理，检验合格后进行下道工序。</w:t>
      </w:r>
    </w:p>
    <w:p>
      <w:pPr>
        <w:spacing w:line="360" w:lineRule="auto"/>
        <w:rPr>
          <w:rFonts w:ascii="宋体" w:hAnsi="宋体"/>
          <w:sz w:val="24"/>
          <w:szCs w:val="24"/>
        </w:rPr>
      </w:pPr>
      <w:r>
        <w:rPr>
          <w:rFonts w:hint="eastAsia" w:ascii="宋体" w:hAnsi="宋体"/>
          <w:sz w:val="24"/>
          <w:szCs w:val="24"/>
        </w:rPr>
        <w:t>1.2铺设管道</w:t>
      </w:r>
    </w:p>
    <w:p>
      <w:pPr>
        <w:spacing w:line="360" w:lineRule="auto"/>
        <w:ind w:firstLine="480"/>
        <w:rPr>
          <w:b/>
          <w:bCs/>
          <w:szCs w:val="21"/>
        </w:rPr>
      </w:pPr>
      <w:r>
        <w:rPr>
          <w:rFonts w:hint="eastAsia" w:ascii="宋体" w:hAnsi="宋体"/>
          <w:sz w:val="24"/>
          <w:szCs w:val="24"/>
        </w:rPr>
        <w:t>包括下管和稳管、管道接口处理。</w:t>
      </w:r>
    </w:p>
    <w:p>
      <w:pPr>
        <w:spacing w:line="360" w:lineRule="auto"/>
        <w:ind w:firstLine="480"/>
        <w:rPr>
          <w:rFonts w:ascii="宋体" w:hAnsi="宋体"/>
          <w:b/>
          <w:bCs/>
          <w:sz w:val="24"/>
          <w:szCs w:val="24"/>
        </w:rPr>
      </w:pPr>
      <w:r>
        <w:rPr>
          <w:rFonts w:hint="eastAsia"/>
          <w:b/>
          <w:bCs/>
          <w:szCs w:val="21"/>
        </w:rPr>
        <w:t>九、电气工程施工工艺流程和施工方法</w:t>
      </w:r>
    </w:p>
    <w:p>
      <w:pPr>
        <w:spacing w:line="360" w:lineRule="auto"/>
        <w:ind w:firstLine="480" w:firstLineChars="200"/>
        <w:rPr>
          <w:rFonts w:ascii="宋体" w:hAnsi="宋体"/>
          <w:sz w:val="24"/>
          <w:szCs w:val="24"/>
        </w:rPr>
      </w:pPr>
      <w:r>
        <w:rPr>
          <w:rFonts w:hint="eastAsia" w:ascii="宋体" w:hAnsi="宋体"/>
          <w:sz w:val="24"/>
          <w:szCs w:val="24"/>
        </w:rPr>
        <w:t>在庭院照明工程施工过程中，主要分为以下几大部分：施工前准备、电缆敷设、配电箱安装、灯具安装、电缆井的制作安装。</w:t>
      </w:r>
    </w:p>
    <w:p>
      <w:pPr>
        <w:spacing w:line="360" w:lineRule="auto"/>
        <w:rPr>
          <w:rFonts w:ascii="宋体" w:hAnsi="宋体"/>
          <w:sz w:val="24"/>
          <w:szCs w:val="24"/>
        </w:rPr>
      </w:pPr>
      <w:r>
        <w:rPr>
          <w:rFonts w:hint="eastAsia" w:ascii="宋体" w:hAnsi="宋体"/>
          <w:sz w:val="24"/>
          <w:szCs w:val="24"/>
        </w:rPr>
        <w:t>1.1施工前准备</w:t>
      </w:r>
    </w:p>
    <w:p>
      <w:pPr>
        <w:spacing w:line="360" w:lineRule="auto"/>
        <w:ind w:firstLine="480" w:firstLineChars="200"/>
        <w:rPr>
          <w:rFonts w:ascii="宋体" w:hAnsi="宋体"/>
          <w:sz w:val="24"/>
          <w:szCs w:val="24"/>
        </w:rPr>
      </w:pPr>
      <w:r>
        <w:rPr>
          <w:rFonts w:hint="eastAsia" w:ascii="宋体" w:hAnsi="宋体"/>
          <w:sz w:val="24"/>
          <w:szCs w:val="24"/>
        </w:rPr>
        <w:t>在具体施工前首先要熟悉电气系统图，包括动力配电系统图和照明配电系统图中的电缆型号、规格、敷设方式及电缆编号，熟悉配电箱中开关类型、控制方案，了解灯具数量、种类等。</w:t>
      </w:r>
    </w:p>
    <w:p>
      <w:pPr>
        <w:spacing w:line="360" w:lineRule="auto"/>
        <w:ind w:firstLine="480" w:firstLineChars="200"/>
        <w:rPr>
          <w:rFonts w:ascii="宋体" w:hAnsi="宋体"/>
          <w:sz w:val="24"/>
          <w:szCs w:val="24"/>
        </w:rPr>
      </w:pPr>
      <w:r>
        <w:rPr>
          <w:rFonts w:hint="eastAsia" w:ascii="宋体" w:hAnsi="宋体"/>
          <w:sz w:val="24"/>
          <w:szCs w:val="24"/>
        </w:rPr>
        <w:t>熟悉电气接线图，包括电气设备与电器设备之间的电线或电缆连接、设备之间线路的型号、敷设方式和回路编号，了解配电箱、灯具的具体位置，电缆走向等。</w:t>
      </w:r>
    </w:p>
    <w:p>
      <w:pPr>
        <w:spacing w:line="360" w:lineRule="auto"/>
        <w:ind w:firstLine="480" w:firstLineChars="200"/>
        <w:rPr>
          <w:rFonts w:ascii="宋体" w:hAnsi="宋体"/>
          <w:sz w:val="24"/>
          <w:szCs w:val="24"/>
        </w:rPr>
      </w:pPr>
      <w:r>
        <w:rPr>
          <w:rFonts w:hint="eastAsia" w:ascii="宋体" w:hAnsi="宋体"/>
          <w:sz w:val="24"/>
          <w:szCs w:val="24"/>
        </w:rPr>
        <w:t>根据图纸准备材料，向施工人员做技术交底，做好施工前的准备工作。</w:t>
      </w:r>
    </w:p>
    <w:p>
      <w:pPr>
        <w:spacing w:line="360" w:lineRule="auto"/>
        <w:rPr>
          <w:rFonts w:ascii="宋体" w:hAnsi="宋体"/>
          <w:sz w:val="24"/>
          <w:szCs w:val="24"/>
        </w:rPr>
      </w:pPr>
      <w:r>
        <w:rPr>
          <w:rFonts w:hint="eastAsia" w:ascii="宋体" w:hAnsi="宋体"/>
          <w:sz w:val="24"/>
          <w:szCs w:val="24"/>
        </w:rPr>
        <w:t>1.2电缆敷设</w:t>
      </w:r>
    </w:p>
    <w:p>
      <w:pPr>
        <w:spacing w:line="360" w:lineRule="auto"/>
        <w:ind w:firstLine="480" w:firstLineChars="200"/>
        <w:rPr>
          <w:rFonts w:ascii="宋体" w:hAnsi="宋体"/>
          <w:sz w:val="24"/>
          <w:szCs w:val="24"/>
        </w:rPr>
      </w:pPr>
      <w:r>
        <w:rPr>
          <w:rFonts w:hint="eastAsia" w:ascii="宋体" w:hAnsi="宋体"/>
          <w:sz w:val="24"/>
          <w:szCs w:val="24"/>
        </w:rPr>
        <w:t>在该部分施工中包括电缆定位放线、电缆沟开挖、电缆敷设、电缆沟回填几部分。</w:t>
      </w:r>
    </w:p>
    <w:p>
      <w:pPr>
        <w:spacing w:line="360" w:lineRule="auto"/>
        <w:ind w:firstLine="480" w:firstLineChars="200"/>
        <w:rPr>
          <w:rFonts w:ascii="宋体" w:hAnsi="宋体"/>
          <w:sz w:val="24"/>
          <w:szCs w:val="24"/>
        </w:rPr>
      </w:pPr>
      <w:r>
        <w:rPr>
          <w:rFonts w:hint="eastAsia" w:ascii="宋体" w:hAnsi="宋体"/>
          <w:sz w:val="24"/>
          <w:szCs w:val="24"/>
        </w:rPr>
        <w:t>电缆定位放线：先按施工图找出电缆的走向后，按图示方位打桩放线，确定电缆敷设位置、开挖宽度、深度等及灯具位置，以便于电缆连接。</w:t>
      </w:r>
    </w:p>
    <w:p>
      <w:pPr>
        <w:spacing w:line="360" w:lineRule="auto"/>
        <w:ind w:firstLine="480" w:firstLineChars="200"/>
        <w:rPr>
          <w:rFonts w:ascii="宋体" w:hAnsi="宋体"/>
          <w:sz w:val="24"/>
          <w:szCs w:val="24"/>
        </w:rPr>
      </w:pPr>
      <w:r>
        <w:rPr>
          <w:rFonts w:hint="eastAsia" w:ascii="宋体" w:hAnsi="宋体"/>
          <w:sz w:val="24"/>
          <w:szCs w:val="24"/>
        </w:rPr>
        <w:t>电缆沟开挖：采用人工挖槽，槽梆必须按1:0.33放坡，开挖出的土方堆放在沟槽的一侧。若在砂土或在砂壤土地区施工，如果沟槽与当地的主风向相交，应将土方堆置在沟槽的下风口一侧，以免刮风造成自然回填。土堆边缘与沟边的距离不得小于0.5米，堆土高度不得超过1.5米，堆土时注意不得掩埋消火栓、管道闸阀、雨水口、测量标志及各种地下管道的井盖，且不得妨碍其正常使用。开槽中若遇有蓁他专业的管道、电缆、地下构筑物或文物古迹等时，应及时与甲方、有关单位及设计部门联系，协同处理。要求沟底是坚实的自然土层，若为松土层夯实。若沟槽底部为石块、砖砾等硬物时，可将槽床多挖深100－200mm，清除石块等硬物，再用砂土回填夯实。</w:t>
      </w:r>
    </w:p>
    <w:p>
      <w:pPr>
        <w:spacing w:line="360" w:lineRule="auto"/>
        <w:ind w:firstLine="480" w:firstLineChars="200"/>
        <w:rPr>
          <w:rFonts w:ascii="宋体" w:hAnsi="宋体"/>
          <w:sz w:val="24"/>
          <w:szCs w:val="24"/>
        </w:rPr>
      </w:pPr>
      <w:r>
        <w:rPr>
          <w:rFonts w:hint="eastAsia" w:ascii="宋体" w:hAnsi="宋体"/>
          <w:sz w:val="24"/>
          <w:szCs w:val="24"/>
        </w:rPr>
        <w:t>电缆敷设：电缆为聚氯乙烯YJV电缆均采用穿管保护形式，埋深不低于0.8m。在过铺装面及过路处均加套管保护。为保证电缆在穿管时外皮不受损伤，将套管两端打喇叭口，并去除毛刺。保证安装中所用电缆、电缆附件（如终端头等）应符合国家现行技术标准的规定，具备合格证、生产许可证、检验报告等相应技术文件；电缆型号、规格、长度等符合设计要求，附件材料齐全。电缆两端封闭严格，内部不应受潮，并保证在施工使用过程中，随用随断，断完后及时将电缆头密封好。电缆存放库房内要通风，保证室内空气干燥，存放时不应交叉重叠。电缆敷设时，弯曲半径不小于电缆外径的8倍。电缆铺设前先在电缆沟内铺砂不低于10cm，电缆敷设完后再铺砂5cm，然后根据电缆根数确定盖砖或盖板。</w:t>
      </w:r>
    </w:p>
    <w:p>
      <w:pPr>
        <w:spacing w:line="360" w:lineRule="auto"/>
        <w:ind w:firstLine="480" w:firstLineChars="200"/>
        <w:rPr>
          <w:rFonts w:ascii="宋体" w:hAnsi="宋体"/>
          <w:sz w:val="24"/>
          <w:szCs w:val="24"/>
        </w:rPr>
      </w:pPr>
      <w:r>
        <w:rPr>
          <w:rFonts w:hint="eastAsia" w:ascii="宋体" w:hAnsi="宋体"/>
          <w:sz w:val="24"/>
          <w:szCs w:val="24"/>
        </w:rPr>
        <w:t>电缆沟回填：电缆铺砂盖砖（板）完毕后并经业主、监理验收合格后方可进行沟槽回填，宜采用人工回填。一般采用原土分层回填，其中不应含有砖瓦、砾石或其他杂质硬物。禁止用石块或砖砾等杂物回填。回填采用符合要求的原土，要求用轻夯或踩实的方案分层回填，一次填土100－150mm。在回填至电缆上50cm后，可用小型打夯机夯实。直至回填到高出地面100mm左右为止。回填到位后必须对整个沟槽进行水夯，使回填土充分下沉，以免绿化工程完成后出现局部下陷，影响绿化效果。</w:t>
      </w:r>
    </w:p>
    <w:p>
      <w:pPr>
        <w:spacing w:line="360" w:lineRule="auto"/>
        <w:rPr>
          <w:rFonts w:ascii="宋体" w:hAnsi="宋体"/>
          <w:sz w:val="24"/>
          <w:szCs w:val="24"/>
        </w:rPr>
      </w:pPr>
      <w:r>
        <w:rPr>
          <w:rFonts w:hint="eastAsia" w:ascii="宋体" w:hAnsi="宋体"/>
          <w:sz w:val="24"/>
          <w:szCs w:val="24"/>
        </w:rPr>
        <w:t>1.3配电箱安装</w:t>
      </w:r>
    </w:p>
    <w:p>
      <w:pPr>
        <w:spacing w:line="360" w:lineRule="auto"/>
        <w:ind w:firstLine="480" w:firstLineChars="200"/>
        <w:rPr>
          <w:rFonts w:ascii="宋体" w:hAnsi="宋体"/>
          <w:sz w:val="24"/>
          <w:szCs w:val="24"/>
        </w:rPr>
      </w:pPr>
      <w:r>
        <w:rPr>
          <w:rFonts w:hint="eastAsia" w:ascii="宋体" w:hAnsi="宋体"/>
          <w:sz w:val="24"/>
          <w:szCs w:val="24"/>
        </w:rPr>
        <w:t>在该部分施工中包括配电箱基础制作、配电箱安装、配电箱接地装置安装、电缆头制作安装几部分。</w:t>
      </w:r>
    </w:p>
    <w:p>
      <w:pPr>
        <w:spacing w:line="360" w:lineRule="auto"/>
        <w:ind w:firstLine="480" w:firstLineChars="200"/>
        <w:rPr>
          <w:rFonts w:ascii="宋体" w:hAnsi="宋体"/>
          <w:sz w:val="24"/>
          <w:szCs w:val="24"/>
        </w:rPr>
      </w:pPr>
      <w:r>
        <w:rPr>
          <w:rFonts w:hint="eastAsia" w:ascii="宋体" w:hAnsi="宋体"/>
          <w:sz w:val="24"/>
          <w:szCs w:val="24"/>
        </w:rPr>
        <w:t>配电箱基础制作：首先确定配电箱位置，然后根据标高确定基础高低。根据基础施工图要求和配电箱尺寸，用混凝土制作基础座，基础座中间加钢筋骨架确保基础坚固。在浇注基础座混凝土时，在混凝土初凝前在其上方设置方钢或基础完成后打膨胀螺栓用于固定箱体。</w:t>
      </w:r>
    </w:p>
    <w:p>
      <w:pPr>
        <w:spacing w:line="360" w:lineRule="auto"/>
        <w:ind w:firstLine="480" w:firstLineChars="200"/>
        <w:rPr>
          <w:rFonts w:ascii="宋体" w:hAnsi="宋体"/>
          <w:sz w:val="24"/>
          <w:szCs w:val="24"/>
        </w:rPr>
      </w:pPr>
      <w:r>
        <w:rPr>
          <w:rFonts w:hint="eastAsia" w:ascii="宋体" w:hAnsi="宋体"/>
          <w:sz w:val="24"/>
          <w:szCs w:val="24"/>
        </w:rPr>
        <w:t>配电箱安装：在安装配电箱前首先熟悉施工图纸中的系统图，理清各个回路控制，熟悉箱内各开关控制设备，然后根据图纸接线。保证配电箱内配线合理、美观，同时对接头的每个点进行刷锡处理。接线完毕后，要根据图纸再复检一次，确保无误且甲方、监理验收合格后方可进和调试和试运行。调试时保证有两人在场。</w:t>
      </w:r>
    </w:p>
    <w:p>
      <w:pPr>
        <w:spacing w:line="360" w:lineRule="auto"/>
        <w:ind w:firstLine="480" w:firstLineChars="200"/>
        <w:rPr>
          <w:rFonts w:ascii="宋体" w:hAnsi="宋体"/>
          <w:sz w:val="24"/>
          <w:szCs w:val="24"/>
        </w:rPr>
      </w:pPr>
      <w:r>
        <w:rPr>
          <w:rFonts w:hint="eastAsia" w:ascii="宋体" w:hAnsi="宋体"/>
          <w:sz w:val="24"/>
          <w:szCs w:val="24"/>
        </w:rPr>
        <w:t>配电箱接地装置安装：保护接地做到确保人身安全，防止间接点将电器设备向外部导电；重复接地要求做到与主体地线重复连接，同一电路的所有电缆的金属外壳或铠装在线路两端应接地。每个配电箱都有一个接地系统，一般用接地钎子或镀锌钢管做接地极，用圆钢做接地导线，每个系统至少要有两组接地极并保证摇测电阻值符合设计要求，否则继续增加接地极直到符合设计要求为止。接地导线要尽可能的直、短。</w:t>
      </w:r>
    </w:p>
    <w:p>
      <w:pPr>
        <w:spacing w:line="360" w:lineRule="auto"/>
        <w:ind w:firstLine="480" w:firstLineChars="200"/>
        <w:rPr>
          <w:rFonts w:ascii="宋体" w:hAnsi="宋体"/>
          <w:sz w:val="24"/>
          <w:szCs w:val="24"/>
        </w:rPr>
      </w:pPr>
      <w:r>
        <w:rPr>
          <w:rFonts w:hint="eastAsia" w:ascii="宋体" w:hAnsi="宋体"/>
          <w:sz w:val="24"/>
          <w:szCs w:val="24"/>
        </w:rPr>
        <w:t>电缆头制作安装：在制作电缆头时要严格按规范规定进行施工。导线连接时要保证缠绕紧密以减小接触电阻，防止导线过热。电缆头干包时首先要进行抹涮锡膏、涮锡的工作，保证不漏涮且没有锡疙瘩，然后进行绝缘胶布和防水胶布的包裹，既要保证绝缘性能和防水性能，又要保证电缆散热，不可包裹过厚。当电缆头处于地下或地上潮湿环境中时，要使用电缆热缩头来进行电缆连接。在使用电缆热缩头时，要做到使热缩管受热适当，既要保证热缩后防水严密又要不能将热缩管烤化烤穿。</w:t>
      </w:r>
    </w:p>
    <w:p>
      <w:pPr>
        <w:spacing w:line="360" w:lineRule="auto"/>
        <w:rPr>
          <w:rFonts w:ascii="宋体" w:hAnsi="宋体"/>
          <w:sz w:val="24"/>
          <w:szCs w:val="24"/>
        </w:rPr>
      </w:pPr>
      <w:r>
        <w:rPr>
          <w:rFonts w:hint="eastAsia" w:ascii="宋体" w:hAnsi="宋体"/>
          <w:sz w:val="24"/>
          <w:szCs w:val="24"/>
        </w:rPr>
        <w:t>1.4灯具安装</w:t>
      </w:r>
    </w:p>
    <w:p>
      <w:pPr>
        <w:spacing w:line="360" w:lineRule="auto"/>
        <w:ind w:firstLine="480" w:firstLineChars="200"/>
        <w:rPr>
          <w:rFonts w:ascii="宋体" w:hAnsi="宋体"/>
          <w:sz w:val="24"/>
          <w:szCs w:val="24"/>
        </w:rPr>
      </w:pPr>
      <w:r>
        <w:rPr>
          <w:rFonts w:hint="eastAsia" w:ascii="宋体" w:hAnsi="宋体"/>
          <w:sz w:val="24"/>
          <w:szCs w:val="24"/>
        </w:rPr>
        <w:t>在该部分施工中包括灯具基础制作、灯具安装、灯具接地装置安装、电缆头制作安装几部分。</w:t>
      </w:r>
    </w:p>
    <w:p>
      <w:pPr>
        <w:spacing w:line="360" w:lineRule="auto"/>
        <w:ind w:firstLine="480" w:firstLineChars="200"/>
        <w:rPr>
          <w:rFonts w:ascii="宋体" w:hAnsi="宋体"/>
          <w:sz w:val="24"/>
          <w:szCs w:val="24"/>
        </w:rPr>
      </w:pPr>
      <w:r>
        <w:rPr>
          <w:rFonts w:hint="eastAsia" w:ascii="宋体" w:hAnsi="宋体"/>
          <w:sz w:val="24"/>
          <w:szCs w:val="24"/>
        </w:rPr>
        <w:t>灯具基础制作：首先确定灯具位置，然后根据标高确定基础高度。根据基础施工图要求和灯具底座尺寸，用混凝土制作基础座，基础座中间加钢筋骨架确保基础坚固。在浇注基础座混凝土时，在混凝土初凝前在其上方放入紧固螺栓或基础完成后打膨胀螺栓用于固定灯具。</w:t>
      </w:r>
    </w:p>
    <w:p>
      <w:pPr>
        <w:spacing w:line="360" w:lineRule="auto"/>
        <w:ind w:firstLine="480" w:firstLineChars="200"/>
        <w:rPr>
          <w:rFonts w:ascii="宋体" w:hAnsi="宋体"/>
          <w:sz w:val="24"/>
          <w:szCs w:val="24"/>
        </w:rPr>
      </w:pPr>
      <w:r>
        <w:rPr>
          <w:rFonts w:hint="eastAsia" w:ascii="宋体" w:hAnsi="宋体"/>
          <w:sz w:val="24"/>
          <w:szCs w:val="24"/>
        </w:rPr>
        <w:t>灯具安装：在安装灯具前首先对电缆进行绝缘测试和回路测试，对所有灯具进行通电调试，确信电缆绝缘良好且回路正确，无短路或断路情况，灯具合格后方可进行灯具安装。安装后保证灯具竖直，再同一排的灯具在一条直线上。灯具固定稳固，无摇晃现象。接线安装完毕后检查各个回路是否与图纸一致，根据图纸再复检一次，确保无误且甲方、监理验收合格后方可进行调试和试运行。调试时保证有两人在场。重要灯具安装应做样板方式安装，安装完成一套，请甲方及监理人员共同检查，同意后再进行安装。</w:t>
      </w:r>
    </w:p>
    <w:p>
      <w:pPr>
        <w:spacing w:line="360" w:lineRule="auto"/>
        <w:ind w:firstLine="480" w:firstLineChars="200"/>
        <w:rPr>
          <w:rFonts w:ascii="宋体" w:hAnsi="宋体"/>
          <w:sz w:val="24"/>
          <w:szCs w:val="24"/>
        </w:rPr>
      </w:pPr>
      <w:r>
        <w:rPr>
          <w:rFonts w:hint="eastAsia" w:ascii="宋体" w:hAnsi="宋体"/>
          <w:sz w:val="24"/>
          <w:szCs w:val="24"/>
        </w:rPr>
        <w:t xml:space="preserve"> 灯具接地装置安装：为确保用电安全，防止因为灯具漏电或阴雨天高杆灯被雷击而导致发生危险，每个回路系统都安装一个二次接地系统，即在回路中间做一组接地极（若回路很长时，可以回路终点增加一组接地极）接电缆中的保护线和灯杆（若电缆无保护线也可接电缆中的电缆铠），同时用摇表进行摇测，保证摇测电阻值符合设计要求，否则继续增加接的极值到符合设计要求为止。</w:t>
      </w:r>
    </w:p>
    <w:p>
      <w:pPr>
        <w:spacing w:line="360" w:lineRule="auto"/>
        <w:ind w:firstLine="480" w:firstLineChars="200"/>
        <w:rPr>
          <w:rFonts w:ascii="宋体" w:hAnsi="宋体"/>
          <w:sz w:val="24"/>
          <w:szCs w:val="24"/>
        </w:rPr>
      </w:pPr>
      <w:r>
        <w:rPr>
          <w:rFonts w:hint="eastAsia" w:ascii="宋体" w:hAnsi="宋体"/>
          <w:sz w:val="24"/>
          <w:szCs w:val="24"/>
        </w:rPr>
        <w:t>电缆头制作能，又要保证电缆散热，不可包裹过厚。当电缆头处于地下或地上潮湿环境中时，要使用电缆热缩头来进行电缆连接。在使用电缆热缩头时，要做到使热缩管受热适当，既要保证热缩后防水严密又要不能将热缩管烤化烤穿。</w:t>
      </w:r>
    </w:p>
    <w:p>
      <w:pPr>
        <w:spacing w:line="360" w:lineRule="auto"/>
        <w:rPr>
          <w:rFonts w:ascii="宋体" w:hAnsi="宋体"/>
          <w:sz w:val="24"/>
          <w:szCs w:val="24"/>
        </w:rPr>
      </w:pPr>
      <w:r>
        <w:rPr>
          <w:rFonts w:hint="eastAsia" w:ascii="宋体" w:hAnsi="宋体"/>
          <w:sz w:val="24"/>
          <w:szCs w:val="24"/>
        </w:rPr>
        <w:t xml:space="preserve">1.5电缆井的制作安装 </w:t>
      </w:r>
    </w:p>
    <w:p>
      <w:pPr>
        <w:spacing w:line="360" w:lineRule="auto"/>
        <w:ind w:firstLine="480" w:firstLineChars="200"/>
        <w:rPr>
          <w:rFonts w:ascii="宋体" w:hAnsi="宋体"/>
          <w:sz w:val="24"/>
          <w:szCs w:val="24"/>
        </w:rPr>
      </w:pPr>
      <w:r>
        <w:rPr>
          <w:rFonts w:hint="eastAsia" w:ascii="宋体" w:hAnsi="宋体"/>
          <w:sz w:val="24"/>
          <w:szCs w:val="24"/>
        </w:rPr>
        <w:t>电缆井砌筑：</w:t>
      </w:r>
    </w:p>
    <w:p>
      <w:pPr>
        <w:spacing w:line="360" w:lineRule="auto"/>
        <w:ind w:firstLine="480" w:firstLineChars="200"/>
        <w:rPr>
          <w:rFonts w:ascii="宋体" w:hAnsi="宋体"/>
          <w:sz w:val="24"/>
          <w:szCs w:val="24"/>
        </w:rPr>
      </w:pPr>
      <w:r>
        <w:rPr>
          <w:rFonts w:hint="eastAsia" w:ascii="宋体" w:hAnsi="宋体"/>
          <w:sz w:val="24"/>
          <w:szCs w:val="24"/>
        </w:rPr>
        <w:t>根据现场情况和设计要求，及图纸指定地点砌筑电缆井，要做到电缆井防水良好、结构坚固。</w:t>
      </w:r>
    </w:p>
    <w:p>
      <w:pPr>
        <w:spacing w:line="360" w:lineRule="auto"/>
        <w:ind w:firstLine="480" w:firstLineChars="200"/>
        <w:rPr>
          <w:rFonts w:ascii="宋体" w:hAnsi="宋体"/>
          <w:sz w:val="24"/>
          <w:szCs w:val="24"/>
        </w:rPr>
      </w:pPr>
      <w:r>
        <w:rPr>
          <w:rFonts w:hint="eastAsia" w:ascii="宋体" w:hAnsi="宋体"/>
          <w:sz w:val="24"/>
          <w:szCs w:val="24"/>
        </w:rPr>
        <w:t>电缆井防水：</w:t>
      </w:r>
    </w:p>
    <w:p>
      <w:pPr>
        <w:spacing w:line="360" w:lineRule="auto"/>
        <w:ind w:firstLine="480" w:firstLineChars="200"/>
        <w:rPr>
          <w:rFonts w:ascii="宋体" w:hAnsi="宋体"/>
          <w:sz w:val="24"/>
          <w:szCs w:val="24"/>
        </w:rPr>
      </w:pPr>
      <w:r>
        <w:rPr>
          <w:rFonts w:hint="eastAsia" w:ascii="宋体" w:hAnsi="宋体"/>
          <w:sz w:val="24"/>
          <w:szCs w:val="24"/>
        </w:rPr>
        <w:t>在电缆过电缆井时要做穿墙保护管，此时要做穿墙管防水处理。先将管口去毛刺、打坡口，然后里外做防腐处理，安装好后用防水沥青或防膨胀胶进行封堵，以保证防水。</w:t>
      </w:r>
    </w:p>
    <w:p>
      <w:pPr>
        <w:spacing w:line="360" w:lineRule="auto"/>
        <w:ind w:firstLine="480" w:firstLineChars="200"/>
        <w:rPr>
          <w:rFonts w:ascii="宋体" w:hAnsi="宋体"/>
          <w:sz w:val="24"/>
          <w:szCs w:val="24"/>
        </w:rPr>
      </w:pPr>
      <w:r>
        <w:rPr>
          <w:rFonts w:hint="eastAsia" w:ascii="宋体" w:hAnsi="宋体"/>
          <w:sz w:val="24"/>
          <w:szCs w:val="24"/>
        </w:rPr>
        <w:t>安装：</w:t>
      </w:r>
    </w:p>
    <w:p>
      <w:pPr>
        <w:spacing w:line="360" w:lineRule="auto"/>
        <w:ind w:firstLine="480" w:firstLineChars="200"/>
        <w:rPr>
          <w:rFonts w:hint="eastAsia" w:ascii="宋体" w:hAnsi="宋体"/>
          <w:sz w:val="24"/>
          <w:szCs w:val="24"/>
        </w:rPr>
      </w:pPr>
      <w:r>
        <w:rPr>
          <w:rFonts w:hint="eastAsia" w:ascii="宋体" w:hAnsi="宋体"/>
          <w:sz w:val="24"/>
          <w:szCs w:val="24"/>
        </w:rPr>
        <w:t>在制作电缆头时要严格按规范规定进行施工。导线连接时要保证缠绕紧密以减小接触电阻，防止导线过热。电缆头干包时首先要进行抹涮锡膏、涮锡的工作，保证不漏涮且没有锡疙瘩，然后进行绝缘胶布和防水胶布的包裹，既要保证绝缘性能和防水性</w:t>
      </w:r>
    </w:p>
    <w:p>
      <w:pPr>
        <w:spacing w:line="360" w:lineRule="auto"/>
        <w:ind w:right="72"/>
        <w:jc w:val="center"/>
        <w:rPr>
          <w:rFonts w:ascii="宋体" w:hAnsi="宋体"/>
          <w:b/>
          <w:sz w:val="44"/>
          <w:szCs w:val="24"/>
        </w:rPr>
      </w:pPr>
    </w:p>
    <w:p>
      <w:pPr>
        <w:spacing w:line="360" w:lineRule="auto"/>
        <w:ind w:right="72"/>
        <w:jc w:val="center"/>
        <w:rPr>
          <w:rFonts w:ascii="宋体" w:hAnsi="宋体"/>
          <w:b/>
          <w:sz w:val="44"/>
          <w:szCs w:val="24"/>
        </w:rPr>
      </w:pPr>
    </w:p>
    <w:p>
      <w:pPr>
        <w:spacing w:line="360" w:lineRule="auto"/>
        <w:ind w:right="72"/>
        <w:jc w:val="center"/>
        <w:rPr>
          <w:rFonts w:ascii="宋体" w:hAnsi="宋体"/>
          <w:b/>
          <w:sz w:val="44"/>
          <w:szCs w:val="24"/>
        </w:rPr>
      </w:pPr>
    </w:p>
    <w:p>
      <w:pPr>
        <w:spacing w:line="360" w:lineRule="auto"/>
        <w:ind w:right="72"/>
        <w:jc w:val="center"/>
        <w:rPr>
          <w:rFonts w:ascii="宋体" w:hAnsi="宋体"/>
          <w:b/>
          <w:sz w:val="44"/>
          <w:szCs w:val="24"/>
        </w:rPr>
      </w:pPr>
    </w:p>
    <w:p>
      <w:pPr>
        <w:spacing w:line="360" w:lineRule="auto"/>
        <w:ind w:right="72"/>
        <w:jc w:val="center"/>
        <w:rPr>
          <w:rFonts w:hint="eastAsia" w:ascii="宋体" w:hAnsi="宋体"/>
          <w:b/>
          <w:sz w:val="44"/>
          <w:szCs w:val="24"/>
        </w:rPr>
      </w:pPr>
    </w:p>
    <w:p>
      <w:pPr>
        <w:spacing w:line="360" w:lineRule="auto"/>
        <w:ind w:right="72"/>
        <w:jc w:val="center"/>
        <w:rPr>
          <w:rFonts w:ascii="宋体" w:hAnsi="宋体"/>
          <w:b/>
          <w:sz w:val="44"/>
          <w:szCs w:val="24"/>
        </w:rPr>
      </w:pPr>
      <w:r>
        <w:rPr>
          <w:rFonts w:hint="eastAsia" w:ascii="宋体" w:hAnsi="宋体"/>
          <w:b/>
          <w:sz w:val="44"/>
          <w:szCs w:val="24"/>
        </w:rPr>
        <w:t>南方科技大学修缮工程成品保护标准</w:t>
      </w: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spacing w:line="360" w:lineRule="auto"/>
        <w:ind w:right="72"/>
        <w:rPr>
          <w:rFonts w:ascii="宋体" w:hAnsi="宋体"/>
          <w:b/>
          <w:sz w:val="44"/>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rPr>
          <w:rFonts w:ascii="Times New Roman" w:hAnsi="Times New Roman"/>
          <w:szCs w:val="24"/>
        </w:rPr>
      </w:pPr>
    </w:p>
    <w:p>
      <w:pPr>
        <w:numPr>
          <w:ilvl w:val="0"/>
          <w:numId w:val="65"/>
        </w:numPr>
        <w:spacing w:line="360" w:lineRule="auto"/>
        <w:ind w:right="72"/>
        <w:rPr>
          <w:rFonts w:ascii="宋体" w:hAnsi="宋体"/>
          <w:b/>
          <w:sz w:val="24"/>
          <w:szCs w:val="24"/>
        </w:rPr>
      </w:pPr>
      <w:r>
        <w:rPr>
          <w:rFonts w:hint="eastAsia" w:ascii="宋体" w:hAnsi="宋体"/>
          <w:b/>
          <w:sz w:val="24"/>
          <w:szCs w:val="24"/>
        </w:rPr>
        <w:t>编制目的：</w:t>
      </w:r>
    </w:p>
    <w:p>
      <w:pPr>
        <w:spacing w:line="360" w:lineRule="auto"/>
        <w:ind w:left="359" w:leftChars="171" w:right="72"/>
        <w:rPr>
          <w:rFonts w:ascii="宋体" w:hAnsi="宋体"/>
          <w:sz w:val="24"/>
          <w:szCs w:val="24"/>
        </w:rPr>
      </w:pPr>
      <w:r>
        <w:rPr>
          <w:rFonts w:hint="eastAsia" w:ascii="宋体" w:hAnsi="宋体"/>
          <w:sz w:val="24"/>
          <w:szCs w:val="24"/>
        </w:rPr>
        <w:t>为规范学校修缮工程管理，加强施工现场的成品保护工作，避免由于成品保护薄弱引起的工程质量问题，提升工程质量，实行成品保护标准化。</w:t>
      </w:r>
    </w:p>
    <w:p>
      <w:pPr>
        <w:spacing w:line="360" w:lineRule="auto"/>
        <w:ind w:left="180" w:right="72"/>
        <w:rPr>
          <w:rFonts w:ascii="宋体" w:hAnsi="宋体"/>
          <w:sz w:val="24"/>
          <w:szCs w:val="24"/>
        </w:rPr>
      </w:pPr>
    </w:p>
    <w:p>
      <w:pPr>
        <w:numPr>
          <w:ilvl w:val="0"/>
          <w:numId w:val="65"/>
        </w:numPr>
        <w:spacing w:line="360" w:lineRule="auto"/>
        <w:ind w:right="72"/>
        <w:rPr>
          <w:rFonts w:ascii="宋体" w:hAnsi="宋体"/>
          <w:b/>
          <w:sz w:val="24"/>
          <w:szCs w:val="24"/>
        </w:rPr>
      </w:pPr>
      <w:r>
        <w:rPr>
          <w:rFonts w:hint="eastAsia" w:ascii="宋体" w:hAnsi="宋体"/>
          <w:b/>
          <w:sz w:val="24"/>
          <w:szCs w:val="24"/>
        </w:rPr>
        <w:t>适用范围：</w:t>
      </w:r>
    </w:p>
    <w:p>
      <w:pPr>
        <w:spacing w:line="360" w:lineRule="auto"/>
        <w:ind w:left="359" w:leftChars="171" w:right="72" w:firstLine="1"/>
        <w:rPr>
          <w:rFonts w:ascii="宋体" w:hAnsi="宋体"/>
          <w:sz w:val="24"/>
          <w:szCs w:val="24"/>
        </w:rPr>
      </w:pPr>
      <w:r>
        <w:rPr>
          <w:rFonts w:hint="eastAsia" w:ascii="宋体" w:hAnsi="宋体"/>
          <w:sz w:val="24"/>
          <w:szCs w:val="24"/>
        </w:rPr>
        <w:t>适用于学校修缮项目的成品、原地面、公共区域的地面和墙面的保护工作。</w:t>
      </w:r>
    </w:p>
    <w:p>
      <w:pPr>
        <w:spacing w:line="360" w:lineRule="auto"/>
        <w:ind w:left="180" w:right="72"/>
        <w:rPr>
          <w:rFonts w:ascii="宋体" w:hAnsi="宋体"/>
          <w:sz w:val="24"/>
          <w:szCs w:val="24"/>
        </w:rPr>
      </w:pPr>
    </w:p>
    <w:p>
      <w:pPr>
        <w:numPr>
          <w:ilvl w:val="0"/>
          <w:numId w:val="65"/>
        </w:numPr>
        <w:spacing w:line="360" w:lineRule="auto"/>
        <w:ind w:right="72"/>
        <w:rPr>
          <w:rFonts w:ascii="宋体" w:hAnsi="宋体"/>
          <w:b/>
          <w:sz w:val="24"/>
          <w:szCs w:val="24"/>
        </w:rPr>
      </w:pPr>
      <w:r>
        <w:rPr>
          <w:rFonts w:hint="eastAsia" w:ascii="宋体" w:hAnsi="宋体"/>
          <w:b/>
          <w:sz w:val="24"/>
          <w:szCs w:val="24"/>
        </w:rPr>
        <w:t>成品保护管理原则：</w:t>
      </w:r>
    </w:p>
    <w:p>
      <w:pPr>
        <w:spacing w:line="360" w:lineRule="auto"/>
        <w:ind w:right="72"/>
        <w:rPr>
          <w:rFonts w:ascii="宋体" w:hAnsi="宋体"/>
          <w:bCs/>
          <w:sz w:val="24"/>
          <w:szCs w:val="24"/>
        </w:rPr>
      </w:pPr>
      <w:r>
        <w:rPr>
          <w:rFonts w:hint="eastAsia" w:ascii="宋体" w:hAnsi="宋体"/>
          <w:bCs/>
          <w:sz w:val="24"/>
          <w:szCs w:val="24"/>
        </w:rPr>
        <w:t>3.1成品保护应遵循谁施工谁保护的原则。</w:t>
      </w:r>
    </w:p>
    <w:p>
      <w:pPr>
        <w:spacing w:line="360" w:lineRule="auto"/>
        <w:ind w:left="359" w:leftChars="171" w:right="72"/>
        <w:rPr>
          <w:rFonts w:ascii="宋体" w:hAnsi="宋体"/>
          <w:sz w:val="24"/>
          <w:szCs w:val="24"/>
        </w:rPr>
      </w:pPr>
      <w:r>
        <w:rPr>
          <w:rFonts w:hint="eastAsia" w:ascii="宋体" w:hAnsi="宋体"/>
          <w:sz w:val="24"/>
          <w:szCs w:val="24"/>
        </w:rPr>
        <w:t>施工单位有责任做好涉及施工区域的成品保护的后续检查和维护工作，并在有必要的情况下做好二次保护工作。</w:t>
      </w:r>
    </w:p>
    <w:p>
      <w:pPr>
        <w:spacing w:line="360" w:lineRule="auto"/>
        <w:ind w:right="72"/>
        <w:rPr>
          <w:rFonts w:ascii="宋体" w:hAnsi="宋体"/>
          <w:sz w:val="24"/>
          <w:szCs w:val="24"/>
        </w:rPr>
      </w:pPr>
      <w:r>
        <w:rPr>
          <w:rFonts w:hint="eastAsia" w:ascii="宋体" w:hAnsi="宋体"/>
          <w:sz w:val="24"/>
          <w:szCs w:val="24"/>
        </w:rPr>
        <w:t>3.2成品保护应遵循先检查后保护的原则。</w:t>
      </w:r>
    </w:p>
    <w:p>
      <w:pPr>
        <w:spacing w:line="360" w:lineRule="auto"/>
        <w:ind w:left="359" w:leftChars="171" w:right="72"/>
        <w:rPr>
          <w:rFonts w:ascii="宋体" w:hAnsi="宋体"/>
          <w:sz w:val="24"/>
          <w:szCs w:val="24"/>
        </w:rPr>
      </w:pPr>
      <w:r>
        <w:rPr>
          <w:rFonts w:hint="eastAsia" w:ascii="宋体" w:hAnsi="宋体"/>
          <w:sz w:val="24"/>
          <w:szCs w:val="24"/>
        </w:rPr>
        <w:t>必须由施工单位、监理单位和学校项目组成员共同对原有成品进行检查拍照，监理单位形成保护前记录后，施工单位方可进行保护。</w:t>
      </w:r>
    </w:p>
    <w:p>
      <w:pPr>
        <w:spacing w:line="360" w:lineRule="auto"/>
        <w:ind w:right="72"/>
        <w:rPr>
          <w:rFonts w:ascii="宋体" w:hAnsi="宋体"/>
          <w:sz w:val="24"/>
          <w:szCs w:val="24"/>
        </w:rPr>
      </w:pPr>
      <w:r>
        <w:rPr>
          <w:rFonts w:hint="eastAsia" w:ascii="宋体" w:hAnsi="宋体"/>
          <w:sz w:val="24"/>
          <w:szCs w:val="24"/>
        </w:rPr>
        <w:t>3.3成品保护应遵循持续保护原则。</w:t>
      </w:r>
    </w:p>
    <w:p>
      <w:pPr>
        <w:spacing w:line="360" w:lineRule="auto"/>
        <w:ind w:left="359" w:leftChars="171" w:right="72"/>
        <w:rPr>
          <w:rFonts w:ascii="宋体" w:hAnsi="宋体"/>
          <w:sz w:val="24"/>
          <w:szCs w:val="24"/>
        </w:rPr>
      </w:pPr>
      <w:r>
        <w:rPr>
          <w:rFonts w:hint="eastAsia" w:ascii="宋体" w:hAnsi="宋体"/>
          <w:sz w:val="24"/>
          <w:szCs w:val="24"/>
        </w:rPr>
        <w:t>施工单位有责任做好后续检查和维护工作，对于成品保护措施被损坏、拆除的，必须在恢复保护措施后方可进行施工。</w:t>
      </w: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  成品保护标准做法：</w:t>
      </w:r>
    </w:p>
    <w:p>
      <w:pPr>
        <w:spacing w:line="360" w:lineRule="auto"/>
        <w:ind w:right="72"/>
        <w:rPr>
          <w:rFonts w:ascii="宋体" w:hAnsi="宋体"/>
          <w:b/>
          <w:bCs/>
          <w:sz w:val="24"/>
          <w:szCs w:val="24"/>
        </w:rPr>
      </w:pPr>
      <w:r>
        <w:rPr>
          <w:rFonts w:hint="eastAsia" w:ascii="宋体" w:hAnsi="宋体"/>
          <w:b/>
          <w:bCs/>
          <w:sz w:val="24"/>
          <w:szCs w:val="24"/>
        </w:rPr>
        <w:t>4.1公共区域地面</w:t>
      </w:r>
    </w:p>
    <w:p>
      <w:pPr>
        <w:spacing w:line="360" w:lineRule="auto"/>
        <w:ind w:right="72"/>
        <w:rPr>
          <w:rFonts w:ascii="宋体" w:hAnsi="宋体"/>
          <w:sz w:val="24"/>
          <w:szCs w:val="24"/>
        </w:rPr>
      </w:pPr>
      <w:r>
        <w:rPr>
          <w:rFonts w:hint="eastAsia" w:ascii="宋体" w:hAnsi="宋体"/>
          <w:sz w:val="24"/>
          <w:szCs w:val="24"/>
        </w:rPr>
        <w:t>4.1.1保护方式（自下而上满铺）：满铺防潮棉+阻燃胶合板9mm+保护膜（PVC+针棉）。</w:t>
      </w:r>
    </w:p>
    <w:p>
      <w:pPr>
        <w:spacing w:line="360" w:lineRule="auto"/>
        <w:ind w:right="72"/>
        <w:rPr>
          <w:rFonts w:ascii="宋体" w:hAnsi="宋体"/>
          <w:sz w:val="24"/>
          <w:szCs w:val="24"/>
        </w:rPr>
      </w:pPr>
      <w:r>
        <w:rPr>
          <w:rFonts w:hint="eastAsia" w:ascii="宋体" w:hAnsi="宋体"/>
          <w:sz w:val="24"/>
          <w:szCs w:val="24"/>
        </w:rPr>
        <w:t xml:space="preserve">   </w:t>
      </w:r>
      <w:r>
        <w:rPr>
          <w:rFonts w:hint="eastAsia" w:ascii="宋体" w:hAnsi="宋体"/>
          <w:sz w:val="24"/>
          <w:szCs w:val="24"/>
        </w:rPr>
        <w:drawing>
          <wp:inline distT="0" distB="0" distL="114300" distR="114300">
            <wp:extent cx="1403350" cy="2143125"/>
            <wp:effectExtent l="0" t="0" r="6350" b="9525"/>
            <wp:docPr id="44" name="图片 44"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timg"/>
                    <pic:cNvPicPr>
                      <a:picLocks noChangeAspect="1"/>
                    </pic:cNvPicPr>
                  </pic:nvPicPr>
                  <pic:blipFill>
                    <a:blip r:embed="rId88"/>
                    <a:stretch>
                      <a:fillRect/>
                    </a:stretch>
                  </pic:blipFill>
                  <pic:spPr>
                    <a:xfrm>
                      <a:off x="0" y="0"/>
                      <a:ext cx="1403350" cy="2143125"/>
                    </a:xfrm>
                    <a:prstGeom prst="rect">
                      <a:avLst/>
                    </a:prstGeom>
                  </pic:spPr>
                </pic:pic>
              </a:graphicData>
            </a:graphic>
          </wp:inline>
        </w:drawing>
      </w:r>
      <w:r>
        <w:rPr>
          <w:rFonts w:hint="eastAsia" w:ascii="宋体" w:hAnsi="宋体"/>
          <w:sz w:val="24"/>
          <w:szCs w:val="24"/>
        </w:rPr>
        <w:t xml:space="preserve"> </w:t>
      </w:r>
      <w:r>
        <w:rPr>
          <w:rFonts w:hint="eastAsia" w:ascii="宋体" w:hAnsi="宋体"/>
          <w:sz w:val="24"/>
          <w:szCs w:val="24"/>
        </w:rPr>
        <w:drawing>
          <wp:inline distT="0" distB="0" distL="114300" distR="114300">
            <wp:extent cx="2149475" cy="1440180"/>
            <wp:effectExtent l="0" t="0" r="7620" b="3175"/>
            <wp:docPr id="45" name="图片 45" descr="阻燃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阻燃板"/>
                    <pic:cNvPicPr>
                      <a:picLocks noChangeAspect="1"/>
                    </pic:cNvPicPr>
                  </pic:nvPicPr>
                  <pic:blipFill>
                    <a:blip r:embed="rId89"/>
                    <a:stretch>
                      <a:fillRect/>
                    </a:stretch>
                  </pic:blipFill>
                  <pic:spPr>
                    <a:xfrm rot="5400000">
                      <a:off x="0" y="0"/>
                      <a:ext cx="2149475" cy="1440180"/>
                    </a:xfrm>
                    <a:prstGeom prst="rect">
                      <a:avLst/>
                    </a:prstGeom>
                  </pic:spPr>
                </pic:pic>
              </a:graphicData>
            </a:graphic>
          </wp:inline>
        </w:drawing>
      </w:r>
      <w:r>
        <w:rPr>
          <w:rFonts w:hint="eastAsia" w:ascii="宋体" w:hAnsi="宋体"/>
          <w:sz w:val="24"/>
          <w:szCs w:val="24"/>
        </w:rPr>
        <w:t xml:space="preserve"> </w:t>
      </w:r>
      <w:r>
        <w:rPr>
          <w:rFonts w:hint="eastAsia" w:ascii="宋体" w:hAnsi="宋体"/>
          <w:sz w:val="24"/>
          <w:szCs w:val="24"/>
        </w:rPr>
        <w:drawing>
          <wp:inline distT="0" distB="0" distL="114300" distR="114300">
            <wp:extent cx="1713865" cy="2146300"/>
            <wp:effectExtent l="0" t="0" r="635" b="6350"/>
            <wp:docPr id="46" name="图片 46" descr="保护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保护膜"/>
                    <pic:cNvPicPr>
                      <a:picLocks noChangeAspect="1"/>
                    </pic:cNvPicPr>
                  </pic:nvPicPr>
                  <pic:blipFill>
                    <a:blip r:embed="rId90"/>
                    <a:stretch>
                      <a:fillRect/>
                    </a:stretch>
                  </pic:blipFill>
                  <pic:spPr>
                    <a:xfrm>
                      <a:off x="0" y="0"/>
                      <a:ext cx="1713865" cy="2146300"/>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4.1.2保护实施时间：施工前，三方做好记录确认后，即时进行保护，并由监理检查其完整性。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4.1.3保护拆除时间：工程完成后，竣工验收前。</w:t>
      </w:r>
    </w:p>
    <w:p>
      <w:pPr>
        <w:spacing w:line="360" w:lineRule="auto"/>
        <w:ind w:right="72"/>
        <w:rPr>
          <w:rFonts w:ascii="宋体" w:hAnsi="宋体"/>
          <w:sz w:val="24"/>
          <w:szCs w:val="24"/>
        </w:rPr>
      </w:pPr>
      <w:r>
        <w:rPr>
          <w:rFonts w:hint="eastAsia" w:ascii="宋体" w:hAnsi="宋体"/>
          <w:sz w:val="24"/>
          <w:szCs w:val="24"/>
        </w:rPr>
        <w:t>4.1.4实施责任人：施工单位。</w:t>
      </w:r>
    </w:p>
    <w:p>
      <w:pPr>
        <w:spacing w:line="360" w:lineRule="auto"/>
        <w:ind w:right="72"/>
        <w:rPr>
          <w:rFonts w:ascii="宋体" w:hAnsi="宋体"/>
          <w:sz w:val="24"/>
          <w:szCs w:val="24"/>
        </w:rPr>
      </w:pPr>
      <w:r>
        <w:rPr>
          <w:rFonts w:hint="eastAsia" w:ascii="宋体" w:hAnsi="宋体"/>
          <w:sz w:val="24"/>
          <w:szCs w:val="24"/>
        </w:rPr>
        <w:t>4.1.5注意事项：铺面层保护膜时往上翻20cm，施工过程中如有保护膜如有破损，由施工单位无条件恢复保护；每天完工清扫保护膜的灰尘和水迹。</w:t>
      </w: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4.2公共区域墙面</w:t>
      </w:r>
    </w:p>
    <w:p>
      <w:pPr>
        <w:spacing w:line="360" w:lineRule="auto"/>
        <w:ind w:right="72"/>
        <w:rPr>
          <w:rFonts w:ascii="宋体" w:hAnsi="宋体"/>
          <w:sz w:val="24"/>
          <w:szCs w:val="24"/>
        </w:rPr>
      </w:pPr>
      <w:r>
        <w:rPr>
          <w:rFonts w:hint="eastAsia" w:ascii="宋体" w:hAnsi="宋体"/>
          <w:sz w:val="24"/>
          <w:szCs w:val="24"/>
        </w:rPr>
        <w:t>4.2.1保护方式：保护膜（PVC+针棉）</w:t>
      </w:r>
    </w:p>
    <w:p>
      <w:pPr>
        <w:spacing w:line="360" w:lineRule="auto"/>
        <w:ind w:right="72"/>
        <w:rPr>
          <w:rFonts w:ascii="宋体" w:hAnsi="宋体"/>
          <w:sz w:val="24"/>
          <w:szCs w:val="24"/>
        </w:rPr>
      </w:pPr>
      <w:r>
        <w:rPr>
          <w:rFonts w:hint="eastAsia" w:ascii="宋体" w:hAnsi="宋体"/>
          <w:sz w:val="24"/>
          <w:szCs w:val="24"/>
        </w:rPr>
        <w:drawing>
          <wp:inline distT="0" distB="0" distL="114300" distR="114300">
            <wp:extent cx="4511040" cy="2706370"/>
            <wp:effectExtent l="0" t="0" r="3810" b="17780"/>
            <wp:docPr id="47" name="图片 47"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timg"/>
                    <pic:cNvPicPr>
                      <a:picLocks noChangeAspect="1"/>
                    </pic:cNvPicPr>
                  </pic:nvPicPr>
                  <pic:blipFill>
                    <a:blip r:embed="rId91"/>
                    <a:stretch>
                      <a:fillRect/>
                    </a:stretch>
                  </pic:blipFill>
                  <pic:spPr>
                    <a:xfrm>
                      <a:off x="0" y="0"/>
                      <a:ext cx="4511040" cy="2706370"/>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4.2.2保护实施时间：施工前，三方做好记录确认后，即时进行保护，并由监理检查其完整性。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4.2.3保护拆除时间：工程完成后，竣工验收前。</w:t>
      </w:r>
    </w:p>
    <w:p>
      <w:pPr>
        <w:spacing w:line="360" w:lineRule="auto"/>
        <w:ind w:right="72"/>
        <w:rPr>
          <w:rFonts w:ascii="宋体" w:hAnsi="宋体"/>
          <w:sz w:val="24"/>
          <w:szCs w:val="24"/>
        </w:rPr>
      </w:pPr>
      <w:r>
        <w:rPr>
          <w:rFonts w:hint="eastAsia" w:ascii="宋体" w:hAnsi="宋体"/>
          <w:sz w:val="24"/>
          <w:szCs w:val="24"/>
        </w:rPr>
        <w:t>4.2.4实施责任人：施工单位。</w:t>
      </w:r>
    </w:p>
    <w:p>
      <w:pPr>
        <w:spacing w:line="360" w:lineRule="auto"/>
        <w:ind w:right="72"/>
        <w:rPr>
          <w:rFonts w:ascii="宋体" w:hAnsi="宋体"/>
          <w:sz w:val="24"/>
          <w:szCs w:val="24"/>
        </w:rPr>
      </w:pPr>
      <w:r>
        <w:rPr>
          <w:rFonts w:hint="eastAsia" w:ascii="宋体" w:hAnsi="宋体"/>
          <w:sz w:val="24"/>
          <w:szCs w:val="24"/>
        </w:rPr>
        <w:t>4.2.5注意事项：如有天花吊顶，铺至天花底部；如无天花吊顶，铺至2M高位置；施工过程中如有保护膜如有破损，由施工单位无条件恢复保护。</w:t>
      </w: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4.3 电梯区域</w:t>
      </w:r>
    </w:p>
    <w:p>
      <w:pPr>
        <w:spacing w:line="360" w:lineRule="auto"/>
        <w:ind w:right="72"/>
        <w:rPr>
          <w:rFonts w:ascii="宋体" w:hAnsi="宋体"/>
          <w:sz w:val="24"/>
          <w:szCs w:val="24"/>
        </w:rPr>
      </w:pPr>
      <w:r>
        <w:rPr>
          <w:rFonts w:hint="eastAsia" w:ascii="宋体" w:hAnsi="宋体"/>
          <w:sz w:val="24"/>
          <w:szCs w:val="24"/>
        </w:rPr>
        <w:t>4.3.1保护方式：轿厢内地面墙面：防潮棉+阻燃胶合板9mm（除灯具、开关部位外，满铺）</w:t>
      </w:r>
    </w:p>
    <w:p>
      <w:pPr>
        <w:spacing w:line="360" w:lineRule="auto"/>
        <w:ind w:right="72"/>
        <w:rPr>
          <w:rFonts w:ascii="宋体" w:hAnsi="宋体"/>
          <w:sz w:val="24"/>
          <w:szCs w:val="24"/>
        </w:rPr>
      </w:pPr>
      <w:r>
        <w:rPr>
          <w:rFonts w:hint="eastAsia" w:ascii="宋体" w:hAnsi="宋体"/>
          <w:sz w:val="24"/>
          <w:szCs w:val="24"/>
        </w:rPr>
        <w:drawing>
          <wp:inline distT="0" distB="0" distL="114300" distR="114300">
            <wp:extent cx="2498090" cy="2009775"/>
            <wp:effectExtent l="0" t="0" r="16510" b="9525"/>
            <wp:docPr id="48" name="图片 4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1"/>
                    <pic:cNvPicPr>
                      <a:picLocks noChangeAspect="1"/>
                    </pic:cNvPicPr>
                  </pic:nvPicPr>
                  <pic:blipFill>
                    <a:blip r:embed="rId92"/>
                    <a:stretch>
                      <a:fillRect/>
                    </a:stretch>
                  </pic:blipFill>
                  <pic:spPr>
                    <a:xfrm>
                      <a:off x="0" y="0"/>
                      <a:ext cx="2498090" cy="2009775"/>
                    </a:xfrm>
                    <a:prstGeom prst="rect">
                      <a:avLst/>
                    </a:prstGeom>
                  </pic:spPr>
                </pic:pic>
              </a:graphicData>
            </a:graphic>
          </wp:inline>
        </w:drawing>
      </w:r>
      <w:r>
        <w:rPr>
          <w:rFonts w:hint="eastAsia" w:ascii="宋体" w:hAnsi="宋体"/>
          <w:sz w:val="24"/>
          <w:szCs w:val="24"/>
        </w:rPr>
        <w:drawing>
          <wp:inline distT="0" distB="0" distL="114300" distR="114300">
            <wp:extent cx="2687320" cy="2016125"/>
            <wp:effectExtent l="0" t="0" r="17780" b="3175"/>
            <wp:docPr id="49" name="图片 4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图片1"/>
                    <pic:cNvPicPr>
                      <a:picLocks noChangeAspect="1"/>
                    </pic:cNvPicPr>
                  </pic:nvPicPr>
                  <pic:blipFill>
                    <a:blip r:embed="rId93"/>
                    <a:stretch>
                      <a:fillRect/>
                    </a:stretch>
                  </pic:blipFill>
                  <pic:spPr>
                    <a:xfrm>
                      <a:off x="0" y="0"/>
                      <a:ext cx="2687320" cy="2016125"/>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4.3.2保护实施时间：施工前，施工单位、监理单位和设备设施维护办公室做好记录确认后，即时进行保护，并由监理检查其完整性。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4.3.3保护拆除时间：工程完成后，竣工验收前。</w:t>
      </w:r>
    </w:p>
    <w:p>
      <w:pPr>
        <w:spacing w:line="360" w:lineRule="auto"/>
        <w:ind w:right="72"/>
        <w:rPr>
          <w:rFonts w:ascii="宋体" w:hAnsi="宋体"/>
          <w:sz w:val="24"/>
          <w:szCs w:val="24"/>
        </w:rPr>
      </w:pPr>
      <w:r>
        <w:rPr>
          <w:rFonts w:hint="eastAsia" w:ascii="宋体" w:hAnsi="宋体"/>
          <w:sz w:val="24"/>
          <w:szCs w:val="24"/>
        </w:rPr>
        <w:t>4.3.4实施责任人：施工单位。</w:t>
      </w:r>
    </w:p>
    <w:p>
      <w:pPr>
        <w:spacing w:line="360" w:lineRule="auto"/>
        <w:ind w:right="72"/>
        <w:rPr>
          <w:rFonts w:ascii="宋体" w:hAnsi="宋体"/>
          <w:sz w:val="24"/>
          <w:szCs w:val="24"/>
        </w:rPr>
      </w:pPr>
      <w:r>
        <w:rPr>
          <w:rFonts w:hint="eastAsia" w:ascii="宋体" w:hAnsi="宋体"/>
          <w:sz w:val="24"/>
          <w:szCs w:val="24"/>
        </w:rPr>
        <w:t>4.3.5注意事项：在电梯内不允许出现水污染；使用过程中如有保护板破损，由施工单位无条件恢复保护。</w:t>
      </w: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4.4电梯门口</w:t>
      </w:r>
    </w:p>
    <w:p>
      <w:pPr>
        <w:spacing w:line="360" w:lineRule="auto"/>
        <w:ind w:right="72"/>
        <w:rPr>
          <w:rFonts w:ascii="宋体" w:hAnsi="宋体"/>
          <w:sz w:val="24"/>
          <w:szCs w:val="24"/>
        </w:rPr>
      </w:pPr>
      <w:r>
        <w:rPr>
          <w:rFonts w:hint="eastAsia" w:ascii="宋体" w:hAnsi="宋体"/>
          <w:sz w:val="24"/>
          <w:szCs w:val="24"/>
        </w:rPr>
        <w:t>4.4.1保护方式：成品瓦楞纸板(2米）+阳角护条（2米）</w:t>
      </w:r>
    </w:p>
    <w:p>
      <w:pPr>
        <w:spacing w:line="360" w:lineRule="auto"/>
        <w:ind w:right="72"/>
        <w:rPr>
          <w:rFonts w:ascii="宋体" w:hAnsi="宋体"/>
          <w:sz w:val="24"/>
          <w:szCs w:val="24"/>
        </w:rPr>
      </w:pPr>
      <w:r>
        <w:rPr>
          <w:rFonts w:hint="eastAsia" w:ascii="宋体" w:hAnsi="宋体"/>
          <w:sz w:val="24"/>
          <w:szCs w:val="24"/>
        </w:rPr>
        <w:drawing>
          <wp:inline distT="0" distB="0" distL="114300" distR="114300">
            <wp:extent cx="3928745" cy="2947035"/>
            <wp:effectExtent l="0" t="0" r="14605" b="5715"/>
            <wp:docPr id="50" name="图片 5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图片2"/>
                    <pic:cNvPicPr>
                      <a:picLocks noChangeAspect="1"/>
                    </pic:cNvPicPr>
                  </pic:nvPicPr>
                  <pic:blipFill>
                    <a:blip r:embed="rId94"/>
                    <a:stretch>
                      <a:fillRect/>
                    </a:stretch>
                  </pic:blipFill>
                  <pic:spPr>
                    <a:xfrm>
                      <a:off x="0" y="0"/>
                      <a:ext cx="3928745" cy="2947035"/>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4.4.2保护实施时间：施工前，施工单位、监理单位和设备设施维护办公室做好记录确认后，即时进行保护，并由监理检查其完整性。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4.4.3保护拆除时间：工程完成后，竣工验收前。</w:t>
      </w:r>
    </w:p>
    <w:p>
      <w:pPr>
        <w:spacing w:line="360" w:lineRule="auto"/>
        <w:ind w:right="72"/>
        <w:rPr>
          <w:rFonts w:ascii="宋体" w:hAnsi="宋体"/>
          <w:sz w:val="24"/>
          <w:szCs w:val="24"/>
        </w:rPr>
      </w:pPr>
      <w:r>
        <w:rPr>
          <w:rFonts w:hint="eastAsia" w:ascii="宋体" w:hAnsi="宋体"/>
          <w:sz w:val="24"/>
          <w:szCs w:val="24"/>
        </w:rPr>
        <w:t>4.4.4实施责任人：施工单位。</w:t>
      </w:r>
    </w:p>
    <w:p>
      <w:pPr>
        <w:spacing w:line="360" w:lineRule="auto"/>
        <w:ind w:right="72"/>
        <w:rPr>
          <w:rFonts w:ascii="宋体" w:hAnsi="宋体"/>
          <w:sz w:val="24"/>
          <w:szCs w:val="24"/>
        </w:rPr>
      </w:pPr>
      <w:r>
        <w:rPr>
          <w:rFonts w:hint="eastAsia" w:ascii="宋体" w:hAnsi="宋体"/>
          <w:sz w:val="24"/>
          <w:szCs w:val="24"/>
        </w:rPr>
        <w:t>4.4.5注意事项：在电梯内不允许出现水污染；使用过程中如有保护板破损，由施工单位无条件恢复保护。</w:t>
      </w: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4.5墙体或柱子阳角</w:t>
      </w:r>
    </w:p>
    <w:p>
      <w:pPr>
        <w:spacing w:line="360" w:lineRule="auto"/>
        <w:ind w:right="72"/>
        <w:rPr>
          <w:rFonts w:ascii="宋体" w:hAnsi="宋体"/>
          <w:sz w:val="24"/>
          <w:szCs w:val="24"/>
        </w:rPr>
      </w:pPr>
      <w:r>
        <w:rPr>
          <w:rFonts w:hint="eastAsia" w:ascii="宋体" w:hAnsi="宋体"/>
          <w:sz w:val="24"/>
          <w:szCs w:val="24"/>
        </w:rPr>
        <w:t>4.5.1保护方式：成品瓦楞纸板折成90°（2米高）</w:t>
      </w:r>
    </w:p>
    <w:p>
      <w:pPr>
        <w:spacing w:line="360" w:lineRule="auto"/>
        <w:ind w:right="72"/>
        <w:rPr>
          <w:rFonts w:ascii="宋体" w:hAnsi="宋体"/>
          <w:sz w:val="24"/>
          <w:szCs w:val="24"/>
        </w:rPr>
      </w:pPr>
      <w:r>
        <w:rPr>
          <w:rFonts w:hint="eastAsia" w:ascii="宋体" w:hAnsi="宋体"/>
          <w:sz w:val="24"/>
          <w:szCs w:val="24"/>
        </w:rPr>
        <w:drawing>
          <wp:inline distT="0" distB="0" distL="114300" distR="114300">
            <wp:extent cx="2349500" cy="3132455"/>
            <wp:effectExtent l="0" t="0" r="12700" b="10795"/>
            <wp:docPr id="51" name="图片 51"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111"/>
                    <pic:cNvPicPr>
                      <a:picLocks noChangeAspect="1"/>
                    </pic:cNvPicPr>
                  </pic:nvPicPr>
                  <pic:blipFill>
                    <a:blip r:embed="rId95"/>
                    <a:stretch>
                      <a:fillRect/>
                    </a:stretch>
                  </pic:blipFill>
                  <pic:spPr>
                    <a:xfrm>
                      <a:off x="0" y="0"/>
                      <a:ext cx="2349500" cy="3132455"/>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4.5.2保护实施时间：施工前，施工单位、基建办公室做好记录确认后，即时进行保护，并由监理检查其完整性。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4.5.3保护拆除时间：工程完成后，竣工验收前。</w:t>
      </w:r>
    </w:p>
    <w:p>
      <w:pPr>
        <w:spacing w:line="360" w:lineRule="auto"/>
        <w:ind w:right="72"/>
        <w:rPr>
          <w:rFonts w:ascii="宋体" w:hAnsi="宋体"/>
          <w:sz w:val="24"/>
          <w:szCs w:val="24"/>
        </w:rPr>
      </w:pPr>
      <w:r>
        <w:rPr>
          <w:rFonts w:hint="eastAsia" w:ascii="宋体" w:hAnsi="宋体"/>
          <w:sz w:val="24"/>
          <w:szCs w:val="24"/>
        </w:rPr>
        <w:t>4.5.4实施责任人：施工单位。</w:t>
      </w:r>
    </w:p>
    <w:p>
      <w:pPr>
        <w:spacing w:line="360" w:lineRule="auto"/>
        <w:ind w:right="72"/>
        <w:rPr>
          <w:rFonts w:ascii="宋体" w:hAnsi="宋体"/>
          <w:sz w:val="24"/>
          <w:szCs w:val="24"/>
        </w:rPr>
      </w:pPr>
      <w:r>
        <w:rPr>
          <w:rFonts w:hint="eastAsia" w:ascii="宋体" w:hAnsi="宋体"/>
          <w:sz w:val="24"/>
          <w:szCs w:val="24"/>
        </w:rPr>
        <w:t>4.5.5注意事项：使用过程中如有保护板破损，由施工单位无条件恢复保护。</w:t>
      </w: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b/>
          <w:bCs/>
          <w:sz w:val="24"/>
          <w:szCs w:val="24"/>
        </w:rPr>
      </w:pPr>
      <w:r>
        <w:rPr>
          <w:rFonts w:hint="eastAsia" w:ascii="宋体" w:hAnsi="宋体"/>
          <w:b/>
          <w:bCs/>
          <w:sz w:val="24"/>
          <w:szCs w:val="24"/>
        </w:rPr>
        <w:t>4.6窗台</w:t>
      </w:r>
    </w:p>
    <w:p>
      <w:pPr>
        <w:spacing w:line="360" w:lineRule="auto"/>
        <w:ind w:right="72"/>
        <w:rPr>
          <w:rFonts w:ascii="宋体" w:hAnsi="宋体"/>
          <w:sz w:val="24"/>
          <w:szCs w:val="24"/>
        </w:rPr>
      </w:pPr>
      <w:r>
        <w:rPr>
          <w:rFonts w:hint="eastAsia" w:ascii="宋体" w:hAnsi="宋体"/>
          <w:sz w:val="24"/>
          <w:szCs w:val="24"/>
        </w:rPr>
        <w:t>4.6.1保护方式：满铺成品瓦楞纸板</w:t>
      </w:r>
    </w:p>
    <w:p>
      <w:pPr>
        <w:spacing w:line="360" w:lineRule="auto"/>
        <w:ind w:right="72"/>
        <w:rPr>
          <w:rFonts w:ascii="宋体" w:hAnsi="宋体"/>
          <w:sz w:val="24"/>
          <w:szCs w:val="24"/>
        </w:rPr>
      </w:pPr>
      <w:r>
        <w:rPr>
          <w:rFonts w:hint="eastAsia" w:ascii="宋体" w:hAnsi="宋体"/>
          <w:sz w:val="24"/>
          <w:szCs w:val="24"/>
        </w:rPr>
        <w:drawing>
          <wp:inline distT="0" distB="0" distL="114300" distR="114300">
            <wp:extent cx="4100195" cy="3075305"/>
            <wp:effectExtent l="0" t="0" r="14605" b="10795"/>
            <wp:docPr id="52" name="图片 52" descr="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222"/>
                    <pic:cNvPicPr>
                      <a:picLocks noChangeAspect="1"/>
                    </pic:cNvPicPr>
                  </pic:nvPicPr>
                  <pic:blipFill>
                    <a:blip r:embed="rId96"/>
                    <a:stretch>
                      <a:fillRect/>
                    </a:stretch>
                  </pic:blipFill>
                  <pic:spPr>
                    <a:xfrm>
                      <a:off x="0" y="0"/>
                      <a:ext cx="4100195" cy="3075305"/>
                    </a:xfrm>
                    <a:prstGeom prst="rect">
                      <a:avLst/>
                    </a:prstGeom>
                  </pic:spPr>
                </pic:pic>
              </a:graphicData>
            </a:graphic>
          </wp:inline>
        </w:drawing>
      </w:r>
    </w:p>
    <w:p>
      <w:pPr>
        <w:spacing w:line="360" w:lineRule="auto"/>
        <w:ind w:right="72"/>
        <w:rPr>
          <w:rFonts w:ascii="宋体" w:hAnsi="宋体"/>
          <w:sz w:val="24"/>
          <w:szCs w:val="24"/>
        </w:rPr>
      </w:pPr>
      <w:r>
        <w:rPr>
          <w:rFonts w:hint="eastAsia" w:ascii="宋体" w:hAnsi="宋体"/>
          <w:sz w:val="24"/>
          <w:szCs w:val="24"/>
        </w:rPr>
        <w:t>4.6.2保护实施时间：施工前，施工单位、基建办公室做好记录确认后，即时进行保护，并由监理检查其完整性。</w:t>
      </w:r>
    </w:p>
    <w:p>
      <w:pPr>
        <w:spacing w:line="360" w:lineRule="auto"/>
        <w:ind w:right="72"/>
        <w:rPr>
          <w:rFonts w:ascii="宋体" w:hAnsi="宋体"/>
          <w:sz w:val="24"/>
          <w:szCs w:val="24"/>
        </w:rPr>
      </w:pPr>
      <w:r>
        <w:rPr>
          <w:rFonts w:hint="eastAsia" w:ascii="宋体" w:hAnsi="宋体"/>
          <w:sz w:val="24"/>
          <w:szCs w:val="24"/>
        </w:rPr>
        <w:t>4.6.3保护拆除时间：工程完成后，竣工验收前。</w:t>
      </w:r>
    </w:p>
    <w:p>
      <w:pPr>
        <w:spacing w:line="360" w:lineRule="auto"/>
        <w:ind w:right="72"/>
        <w:rPr>
          <w:rFonts w:ascii="宋体" w:hAnsi="宋体"/>
          <w:sz w:val="24"/>
          <w:szCs w:val="24"/>
        </w:rPr>
      </w:pPr>
      <w:r>
        <w:rPr>
          <w:rFonts w:hint="eastAsia" w:ascii="宋体" w:hAnsi="宋体"/>
          <w:sz w:val="24"/>
          <w:szCs w:val="24"/>
        </w:rPr>
        <w:t>4.6.4实施责任人：施工单位。</w:t>
      </w:r>
    </w:p>
    <w:p>
      <w:pPr>
        <w:spacing w:line="360" w:lineRule="auto"/>
        <w:ind w:right="72"/>
        <w:rPr>
          <w:rFonts w:ascii="宋体" w:hAnsi="宋体"/>
          <w:sz w:val="24"/>
          <w:szCs w:val="24"/>
        </w:rPr>
      </w:pPr>
      <w:r>
        <w:rPr>
          <w:rFonts w:hint="eastAsia" w:ascii="宋体" w:hAnsi="宋体"/>
          <w:sz w:val="24"/>
          <w:szCs w:val="24"/>
        </w:rPr>
        <w:t>4.6.5注意事项：表面、拼缝及拼角部位的垃圾杂物，用干净棉布清除表面灰尘。清洁完毕，用适宜尺寸的成品瓦楞纸板折成L型，覆盖在其表面上，覆盖时必须确保大理石完全被包覆。在纸板交接处及转角处需固定；使用过程中如有保护板破损，由施工单位无条件恢复保护。</w:t>
      </w: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sz w:val="24"/>
          <w:szCs w:val="24"/>
        </w:rPr>
      </w:pPr>
    </w:p>
    <w:p>
      <w:pPr>
        <w:spacing w:line="360" w:lineRule="auto"/>
        <w:ind w:right="72"/>
        <w:rPr>
          <w:rFonts w:ascii="宋体" w:hAnsi="宋体"/>
          <w:sz w:val="24"/>
          <w:szCs w:val="24"/>
        </w:rPr>
      </w:pPr>
      <w:r>
        <w:rPr>
          <w:rFonts w:hint="eastAsia" w:ascii="宋体" w:hAnsi="宋体"/>
          <w:sz w:val="24"/>
          <w:szCs w:val="24"/>
        </w:rPr>
        <w:t xml:space="preserve"> </w:t>
      </w:r>
    </w:p>
    <w:p>
      <w:pPr>
        <w:spacing w:line="360" w:lineRule="auto"/>
        <w:jc w:val="center"/>
        <w:rPr>
          <w:rFonts w:ascii="宋体" w:hAnsi="宋体"/>
          <w:b/>
          <w:bCs/>
          <w:color w:val="000000"/>
          <w:sz w:val="36"/>
          <w:szCs w:val="36"/>
        </w:rPr>
      </w:pPr>
    </w:p>
    <w:p/>
    <w:sectPr>
      <w:pgSz w:w="11906" w:h="16838"/>
      <w:pgMar w:top="1418" w:right="1418" w:bottom="1418" w:left="1418" w:header="851" w:footer="992" w:gutter="0"/>
      <w:pgNumType w:fmt="numberInDash"/>
      <w:cols w:space="425"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ˎ̥">
    <w:altName w:val="Times New Roman"/>
    <w:panose1 w:val="00000000000000000000"/>
    <w:charset w:val="00"/>
    <w:family w:val="roman"/>
    <w:pitch w:val="default"/>
    <w:sig w:usb0="00000000" w:usb1="00000000" w:usb2="00000000" w:usb3="00000000" w:csb0="00000000" w:csb1="00000000"/>
  </w:font>
  <w:font w:name="MingLiU">
    <w:altName w:val="PMingLiU-ExtB"/>
    <w:panose1 w:val="02010609000101010101"/>
    <w:charset w:val="88"/>
    <w:family w:val="modern"/>
    <w:pitch w:val="default"/>
    <w:sig w:usb0="00000000" w:usb1="00000000" w:usb2="00000016" w:usb3="00000000" w:csb0="00100001" w:csb1="00000000"/>
  </w:font>
  <w:font w:name="全真中明體">
    <w:altName w:val="MingLiU-ExtB"/>
    <w:panose1 w:val="00000000000000000000"/>
    <w:charset w:val="88"/>
    <w:family w:val="modern"/>
    <w:pitch w:val="default"/>
    <w:sig w:usb0="00000000" w:usb1="00000000" w:usb2="00000010" w:usb3="00000000" w:csb0="00100000" w:csb1="00000000"/>
  </w:font>
  <w:font w:name="Arial Unicode MS">
    <w:altName w:val="Malgun Gothic Semilight"/>
    <w:panose1 w:val="020B0604020202020204"/>
    <w:charset w:val="86"/>
    <w:family w:val="swiss"/>
    <w:pitch w:val="default"/>
    <w:sig w:usb0="00000000" w:usb1="00000000" w:usb2="0000003F" w:usb3="00000000" w:csb0="603F01FF" w:csb1="FFFF0000"/>
  </w:font>
  <w:font w:name="华文中宋">
    <w:altName w:val="宋体"/>
    <w:panose1 w:val="02010600040101010101"/>
    <w:charset w:val="86"/>
    <w:family w:val="auto"/>
    <w:pitch w:val="default"/>
    <w:sig w:usb0="00000000" w:usb1="00000000" w:usb2="00000010" w:usb3="00000000" w:csb0="0004009F" w:csb1="00000000"/>
  </w:font>
  <w:font w:name="楷体_GB2312">
    <w:altName w:val="楷体"/>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Frutiger 45 Light">
    <w:altName w:val="新宋体"/>
    <w:panose1 w:val="00000000000000000000"/>
    <w:charset w:val="86"/>
    <w:family w:val="auto"/>
    <w:pitch w:val="default"/>
    <w:sig w:usb0="00000000" w:usb1="00000000" w:usb2="00000010" w:usb3="00000000" w:csb0="00040000" w:csb1="00000000"/>
  </w:font>
  <w:font w:name="Courier (W1)">
    <w:altName w:val="Segoe Print"/>
    <w:panose1 w:val="00000000000000000000"/>
    <w:charset w:val="00"/>
    <w:family w:val="modern"/>
    <w:pitch w:val="default"/>
    <w:sig w:usb0="00000000" w:usb1="00000000" w:usb2="00000008" w:usb3="00000000" w:csb0="000001FF" w:csb1="00000000"/>
  </w:font>
  <w:font w:name="新宋体">
    <w:panose1 w:val="02010609030101010101"/>
    <w:charset w:val="86"/>
    <w:family w:val="modern"/>
    <w:pitch w:val="default"/>
    <w:sig w:usb0="00000283" w:usb1="288F0000" w:usb2="00000006" w:usb3="00000000" w:csb0="00040001" w:csb1="00000000"/>
  </w:font>
  <w:font w:name="华文仿宋">
    <w:altName w:val="仿宋"/>
    <w:panose1 w:val="02010600040101010101"/>
    <w:charset w:val="86"/>
    <w:family w:val="auto"/>
    <w:pitch w:val="default"/>
    <w:sig w:usb0="00000000" w:usb1="00000000" w:usb2="00000010" w:usb3="00000000" w:csb0="0004009F" w:csb1="00000000"/>
  </w:font>
  <w:font w:name="幼圆">
    <w:altName w:val="宋体"/>
    <w:panose1 w:val="02010509060101010101"/>
    <w:charset w:val="86"/>
    <w:family w:val="modern"/>
    <w:pitch w:val="default"/>
    <w:sig w:usb0="00000000" w:usb1="00000000" w:usb2="00000010" w:usb3="00000000" w:csb0="00040000" w:csb1="00000000"/>
  </w:font>
  <w:font w:name="Times New Roman'">
    <w:altName w:val="Times New Roman"/>
    <w:panose1 w:val="00000000000000000000"/>
    <w:charset w:val="00"/>
    <w:family w:val="auto"/>
    <w:pitch w:val="default"/>
    <w:sig w:usb0="00000000" w:usb1="00000000" w:usb2="00000000" w:usb3="00000000" w:csb0="00040001" w:csb1="00000000"/>
  </w:font>
  <w:font w:name="Trebuchet MS">
    <w:panose1 w:val="020B0603020202020204"/>
    <w:charset w:val="00"/>
    <w:family w:val="swiss"/>
    <w:pitch w:val="default"/>
    <w:sig w:usb0="00000687" w:usb1="00000000" w:usb2="00000000" w:usb3="00000000" w:csb0="2000009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Malgun Gothic Semilight">
    <w:panose1 w:val="020B0502040204020203"/>
    <w:charset w:val="86"/>
    <w:family w:val="auto"/>
    <w:pitch w:val="default"/>
    <w:sig w:usb0="900002AF" w:usb1="01D77CFB" w:usb2="00000012" w:usb3="00000000" w:csb0="203E01BD" w:csb1="D7FF0000"/>
  </w:font>
  <w:font w:name="PMingLiU-ExtB">
    <w:panose1 w:val="02020500000000000000"/>
    <w:charset w:val="88"/>
    <w:family w:val="auto"/>
    <w:pitch w:val="default"/>
    <w:sig w:usb0="8000002F" w:usb1="02000008" w:usb2="00000000" w:usb3="00000000" w:csb0="00100001" w:csb1="00000000"/>
  </w:font>
  <w:font w:name="MingLiU-ExtB">
    <w:panose1 w:val="02020500000000000000"/>
    <w:charset w:val="88"/>
    <w:family w:val="auto"/>
    <w:pitch w:val="default"/>
    <w:sig w:usb0="8000002F" w:usb1="02000008" w:usb2="00000000" w:usb3="00000000" w:csb0="00100001"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00000002"/>
    <w:multiLevelType w:val="multilevel"/>
    <w:tmpl w:val="00000002"/>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00000004"/>
    <w:multiLevelType w:val="multilevel"/>
    <w:tmpl w:val="00000004"/>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0000000F"/>
    <w:multiLevelType w:val="multilevel"/>
    <w:tmpl w:val="0000000F"/>
    <w:lvl w:ilvl="0" w:tentative="0">
      <w:start w:val="1"/>
      <w:numFmt w:val="decimal"/>
      <w:lvlText w:val="%1)"/>
      <w:lvlJc w:val="left"/>
      <w:pPr>
        <w:tabs>
          <w:tab w:val="left" w:pos="420"/>
        </w:tabs>
        <w:ind w:left="420" w:hanging="420"/>
      </w:pPr>
      <w:rPr>
        <w:color w:val="00000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00000010"/>
    <w:multiLevelType w:val="singleLevel"/>
    <w:tmpl w:val="00000010"/>
    <w:lvl w:ilvl="0" w:tentative="0">
      <w:start w:val="3"/>
      <w:numFmt w:val="chineseCounting"/>
      <w:suff w:val="nothing"/>
      <w:lvlText w:val="%1、"/>
      <w:lvlJc w:val="left"/>
    </w:lvl>
  </w:abstractNum>
  <w:abstractNum w:abstractNumId="5">
    <w:nsid w:val="00000011"/>
    <w:multiLevelType w:val="multilevel"/>
    <w:tmpl w:val="00000011"/>
    <w:lvl w:ilvl="0" w:tentative="0">
      <w:start w:val="1"/>
      <w:numFmt w:val="decimal"/>
      <w:lvlText w:val="%1)"/>
      <w:lvlJc w:val="left"/>
      <w:pPr>
        <w:tabs>
          <w:tab w:val="left" w:pos="420"/>
        </w:tabs>
        <w:ind w:left="420" w:hanging="420"/>
      </w:pPr>
      <w:rPr>
        <w:color w:val="00000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0000012"/>
    <w:multiLevelType w:val="multilevel"/>
    <w:tmpl w:val="00000012"/>
    <w:lvl w:ilvl="0" w:tentative="0">
      <w:start w:val="1"/>
      <w:numFmt w:val="decimal"/>
      <w:lvlText w:val="%1)"/>
      <w:lvlJc w:val="left"/>
      <w:pPr>
        <w:tabs>
          <w:tab w:val="left" w:pos="1260"/>
        </w:tabs>
        <w:ind w:left="1260" w:hanging="420"/>
      </w:pPr>
    </w:lvl>
    <w:lvl w:ilvl="1" w:tentative="0">
      <w:start w:val="1"/>
      <w:numFmt w:val="lowerLetter"/>
      <w:lvlText w:val="%2)"/>
      <w:lvlJc w:val="left"/>
      <w:pPr>
        <w:tabs>
          <w:tab w:val="left" w:pos="1680"/>
        </w:tabs>
        <w:ind w:left="1680" w:hanging="420"/>
      </w:pPr>
    </w:lvl>
    <w:lvl w:ilvl="2" w:tentative="0">
      <w:start w:val="3"/>
      <w:numFmt w:val="japaneseCounting"/>
      <w:lvlText w:val="第%3章"/>
      <w:lvlJc w:val="left"/>
      <w:pPr>
        <w:tabs>
          <w:tab w:val="left" w:pos="2520"/>
        </w:tabs>
        <w:ind w:left="2520" w:hanging="840"/>
      </w:pPr>
      <w:rPr>
        <w:rFonts w:hint="default"/>
      </w:r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3"/>
    <w:multiLevelType w:val="multilevel"/>
    <w:tmpl w:val="00000013"/>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00000014"/>
    <w:multiLevelType w:val="multilevel"/>
    <w:tmpl w:val="00000014"/>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00000015"/>
    <w:multiLevelType w:val="multilevel"/>
    <w:tmpl w:val="00000015"/>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
    <w:nsid w:val="00000016"/>
    <w:multiLevelType w:val="multilevel"/>
    <w:tmpl w:val="00000016"/>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00000017"/>
    <w:multiLevelType w:val="multilevel"/>
    <w:tmpl w:val="00000017"/>
    <w:lvl w:ilvl="0" w:tentative="0">
      <w:start w:val="1"/>
      <w:numFmt w:val="decimal"/>
      <w:lvlText w:val="%1、"/>
      <w:lvlJc w:val="left"/>
      <w:pPr>
        <w:tabs>
          <w:tab w:val="left" w:pos="1250"/>
        </w:tabs>
        <w:ind w:left="1250" w:hanging="780"/>
      </w:pPr>
      <w:rPr>
        <w:rFonts w:hint="eastAsia"/>
      </w:rPr>
    </w:lvl>
    <w:lvl w:ilvl="1" w:tentative="0">
      <w:start w:val="1"/>
      <w:numFmt w:val="lowerLetter"/>
      <w:lvlText w:val="%2."/>
      <w:lvlJc w:val="left"/>
      <w:pPr>
        <w:tabs>
          <w:tab w:val="left" w:pos="1550"/>
        </w:tabs>
        <w:ind w:left="1550" w:hanging="360"/>
      </w:pPr>
    </w:lvl>
    <w:lvl w:ilvl="2" w:tentative="0">
      <w:start w:val="1"/>
      <w:numFmt w:val="lowerRoman"/>
      <w:lvlText w:val="%3."/>
      <w:lvlJc w:val="right"/>
      <w:pPr>
        <w:tabs>
          <w:tab w:val="left" w:pos="2270"/>
        </w:tabs>
        <w:ind w:left="2270" w:hanging="180"/>
      </w:pPr>
    </w:lvl>
    <w:lvl w:ilvl="3" w:tentative="0">
      <w:start w:val="1"/>
      <w:numFmt w:val="decimal"/>
      <w:lvlText w:val="%4."/>
      <w:lvlJc w:val="left"/>
      <w:pPr>
        <w:tabs>
          <w:tab w:val="left" w:pos="2990"/>
        </w:tabs>
        <w:ind w:left="2990" w:hanging="360"/>
      </w:pPr>
    </w:lvl>
    <w:lvl w:ilvl="4" w:tentative="0">
      <w:start w:val="1"/>
      <w:numFmt w:val="lowerLetter"/>
      <w:lvlText w:val="%5."/>
      <w:lvlJc w:val="left"/>
      <w:pPr>
        <w:tabs>
          <w:tab w:val="left" w:pos="3710"/>
        </w:tabs>
        <w:ind w:left="3710" w:hanging="360"/>
      </w:pPr>
    </w:lvl>
    <w:lvl w:ilvl="5" w:tentative="0">
      <w:start w:val="1"/>
      <w:numFmt w:val="lowerRoman"/>
      <w:lvlText w:val="%6."/>
      <w:lvlJc w:val="right"/>
      <w:pPr>
        <w:tabs>
          <w:tab w:val="left" w:pos="4430"/>
        </w:tabs>
        <w:ind w:left="4430" w:hanging="180"/>
      </w:pPr>
    </w:lvl>
    <w:lvl w:ilvl="6" w:tentative="0">
      <w:start w:val="1"/>
      <w:numFmt w:val="decimal"/>
      <w:lvlText w:val="%7."/>
      <w:lvlJc w:val="left"/>
      <w:pPr>
        <w:tabs>
          <w:tab w:val="left" w:pos="5150"/>
        </w:tabs>
        <w:ind w:left="5150" w:hanging="360"/>
      </w:pPr>
    </w:lvl>
    <w:lvl w:ilvl="7" w:tentative="0">
      <w:start w:val="1"/>
      <w:numFmt w:val="lowerLetter"/>
      <w:lvlText w:val="%8."/>
      <w:lvlJc w:val="left"/>
      <w:pPr>
        <w:tabs>
          <w:tab w:val="left" w:pos="5870"/>
        </w:tabs>
        <w:ind w:left="5870" w:hanging="360"/>
      </w:pPr>
    </w:lvl>
    <w:lvl w:ilvl="8" w:tentative="0">
      <w:start w:val="1"/>
      <w:numFmt w:val="lowerRoman"/>
      <w:lvlText w:val="%9."/>
      <w:lvlJc w:val="right"/>
      <w:pPr>
        <w:tabs>
          <w:tab w:val="left" w:pos="6590"/>
        </w:tabs>
        <w:ind w:left="6590" w:hanging="180"/>
      </w:pPr>
    </w:lvl>
  </w:abstractNum>
  <w:abstractNum w:abstractNumId="12">
    <w:nsid w:val="00000018"/>
    <w:multiLevelType w:val="multilevel"/>
    <w:tmpl w:val="00000018"/>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
    <w:nsid w:val="00000019"/>
    <w:multiLevelType w:val="multilevel"/>
    <w:tmpl w:val="00000019"/>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0000001A"/>
    <w:multiLevelType w:val="multilevel"/>
    <w:tmpl w:val="0000001A"/>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5">
    <w:nsid w:val="0000001B"/>
    <w:multiLevelType w:val="multilevel"/>
    <w:tmpl w:val="0000001B"/>
    <w:lvl w:ilvl="0" w:tentative="0">
      <w:start w:val="7"/>
      <w:numFmt w:val="upperLetter"/>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0000001C"/>
    <w:multiLevelType w:val="multilevel"/>
    <w:tmpl w:val="0000001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0000001D"/>
    <w:multiLevelType w:val="multilevel"/>
    <w:tmpl w:val="0000001D"/>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0000001E"/>
    <w:multiLevelType w:val="multilevel"/>
    <w:tmpl w:val="0000001E"/>
    <w:lvl w:ilvl="0" w:tentative="0">
      <w:start w:val="1"/>
      <w:numFmt w:val="decimal"/>
      <w:lvlText w:val="%1)"/>
      <w:lvlJc w:val="left"/>
      <w:pPr>
        <w:tabs>
          <w:tab w:val="left" w:pos="420"/>
        </w:tabs>
        <w:ind w:left="420" w:hanging="420"/>
      </w:pPr>
      <w:rPr>
        <w:color w:val="00000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0000001F"/>
    <w:multiLevelType w:val="multilevel"/>
    <w:tmpl w:val="0000001F"/>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00000020"/>
    <w:multiLevelType w:val="singleLevel"/>
    <w:tmpl w:val="00000020"/>
    <w:lvl w:ilvl="0" w:tentative="0">
      <w:start w:val="1"/>
      <w:numFmt w:val="decimal"/>
      <w:suff w:val="nothing"/>
      <w:lvlText w:val="%1）"/>
      <w:lvlJc w:val="left"/>
      <w:pPr>
        <w:ind w:left="0" w:firstLine="0"/>
      </w:pPr>
    </w:lvl>
  </w:abstractNum>
  <w:abstractNum w:abstractNumId="21">
    <w:nsid w:val="00000021"/>
    <w:multiLevelType w:val="multilevel"/>
    <w:tmpl w:val="00000021"/>
    <w:lvl w:ilvl="0" w:tentative="0">
      <w:start w:val="1"/>
      <w:numFmt w:val="upperLetter"/>
      <w:lvlText w:val="%1."/>
      <w:lvlJc w:val="left"/>
      <w:pPr>
        <w:tabs>
          <w:tab w:val="left" w:pos="1384"/>
        </w:tabs>
        <w:ind w:left="1384"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2">
    <w:nsid w:val="00000022"/>
    <w:multiLevelType w:val="multilevel"/>
    <w:tmpl w:val="00000022"/>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3">
    <w:nsid w:val="00000023"/>
    <w:multiLevelType w:val="multilevel"/>
    <w:tmpl w:val="00000023"/>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4">
    <w:nsid w:val="00000025"/>
    <w:multiLevelType w:val="multilevel"/>
    <w:tmpl w:val="00000025"/>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5">
    <w:nsid w:val="00000026"/>
    <w:multiLevelType w:val="singleLevel"/>
    <w:tmpl w:val="00000026"/>
    <w:lvl w:ilvl="0" w:tentative="0">
      <w:start w:val="1"/>
      <w:numFmt w:val="decimal"/>
      <w:suff w:val="nothing"/>
      <w:lvlText w:val="%1）"/>
      <w:lvlJc w:val="left"/>
      <w:pPr>
        <w:ind w:left="0" w:firstLine="0"/>
      </w:pPr>
    </w:lvl>
  </w:abstractNum>
  <w:abstractNum w:abstractNumId="26">
    <w:nsid w:val="00000027"/>
    <w:multiLevelType w:val="multilevel"/>
    <w:tmpl w:val="0000002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7">
    <w:nsid w:val="00000028"/>
    <w:multiLevelType w:val="singleLevel"/>
    <w:tmpl w:val="00000028"/>
    <w:lvl w:ilvl="0" w:tentative="0">
      <w:start w:val="5"/>
      <w:numFmt w:val="decimal"/>
      <w:suff w:val="nothing"/>
      <w:lvlText w:val="%1）"/>
      <w:lvlJc w:val="left"/>
      <w:pPr>
        <w:ind w:left="0" w:firstLine="0"/>
      </w:pPr>
    </w:lvl>
  </w:abstractNum>
  <w:abstractNum w:abstractNumId="28">
    <w:nsid w:val="0000002A"/>
    <w:multiLevelType w:val="multilevel"/>
    <w:tmpl w:val="0000002A"/>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9">
    <w:nsid w:val="0000002B"/>
    <w:multiLevelType w:val="multilevel"/>
    <w:tmpl w:val="0000002B"/>
    <w:lvl w:ilvl="0" w:tentative="0">
      <w:start w:val="1"/>
      <w:numFmt w:val="decimal"/>
      <w:lvlText w:val="%1)"/>
      <w:lvlJc w:val="left"/>
      <w:pPr>
        <w:tabs>
          <w:tab w:val="left" w:pos="420"/>
        </w:tabs>
        <w:ind w:left="420" w:hanging="420"/>
      </w:pPr>
      <w:rPr>
        <w:color w:val="00000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0">
    <w:nsid w:val="0000002C"/>
    <w:multiLevelType w:val="multilevel"/>
    <w:tmpl w:val="0000002C"/>
    <w:lvl w:ilvl="0" w:tentative="0">
      <w:start w:val="1"/>
      <w:numFmt w:val="bullet"/>
      <w:lvlText w:val=""/>
      <w:lvlJc w:val="left"/>
      <w:pPr>
        <w:tabs>
          <w:tab w:val="left" w:pos="845"/>
        </w:tabs>
        <w:ind w:left="845" w:hanging="420"/>
      </w:pPr>
      <w:rPr>
        <w:rFonts w:ascii="Wingdings" w:hAnsi="Wingdings"/>
      </w:rPr>
    </w:lvl>
    <w:lvl w:ilvl="1" w:tentative="0">
      <w:start w:val="1"/>
      <w:numFmt w:val="bullet"/>
      <w:lvlText w:val=""/>
      <w:lvlJc w:val="left"/>
      <w:pPr>
        <w:tabs>
          <w:tab w:val="left" w:pos="1265"/>
        </w:tabs>
        <w:ind w:left="1265" w:hanging="420"/>
      </w:pPr>
      <w:rPr>
        <w:rFonts w:ascii="Wingdings" w:hAnsi="Wingdings"/>
      </w:rPr>
    </w:lvl>
    <w:lvl w:ilvl="2" w:tentative="0">
      <w:start w:val="1"/>
      <w:numFmt w:val="bullet"/>
      <w:lvlText w:val=""/>
      <w:lvlJc w:val="left"/>
      <w:pPr>
        <w:tabs>
          <w:tab w:val="left" w:pos="1685"/>
        </w:tabs>
        <w:ind w:left="1685" w:hanging="420"/>
      </w:pPr>
      <w:rPr>
        <w:rFonts w:ascii="Wingdings" w:hAnsi="Wingdings"/>
      </w:rPr>
    </w:lvl>
    <w:lvl w:ilvl="3" w:tentative="0">
      <w:start w:val="1"/>
      <w:numFmt w:val="bullet"/>
      <w:lvlText w:val=""/>
      <w:lvlJc w:val="left"/>
      <w:pPr>
        <w:tabs>
          <w:tab w:val="left" w:pos="2105"/>
        </w:tabs>
        <w:ind w:left="2105" w:hanging="420"/>
      </w:pPr>
      <w:rPr>
        <w:rFonts w:ascii="Wingdings" w:hAnsi="Wingdings"/>
      </w:rPr>
    </w:lvl>
    <w:lvl w:ilvl="4" w:tentative="0">
      <w:start w:val="1"/>
      <w:numFmt w:val="bullet"/>
      <w:lvlText w:val=""/>
      <w:lvlJc w:val="left"/>
      <w:pPr>
        <w:tabs>
          <w:tab w:val="left" w:pos="2525"/>
        </w:tabs>
        <w:ind w:left="2525" w:hanging="420"/>
      </w:pPr>
      <w:rPr>
        <w:rFonts w:ascii="Wingdings" w:hAnsi="Wingdings"/>
      </w:rPr>
    </w:lvl>
    <w:lvl w:ilvl="5" w:tentative="0">
      <w:start w:val="1"/>
      <w:numFmt w:val="bullet"/>
      <w:lvlText w:val=""/>
      <w:lvlJc w:val="left"/>
      <w:pPr>
        <w:tabs>
          <w:tab w:val="left" w:pos="2945"/>
        </w:tabs>
        <w:ind w:left="2945" w:hanging="420"/>
      </w:pPr>
      <w:rPr>
        <w:rFonts w:ascii="Wingdings" w:hAnsi="Wingdings"/>
      </w:rPr>
    </w:lvl>
    <w:lvl w:ilvl="6" w:tentative="0">
      <w:start w:val="1"/>
      <w:numFmt w:val="bullet"/>
      <w:lvlText w:val=""/>
      <w:lvlJc w:val="left"/>
      <w:pPr>
        <w:tabs>
          <w:tab w:val="left" w:pos="3365"/>
        </w:tabs>
        <w:ind w:left="3365" w:hanging="420"/>
      </w:pPr>
      <w:rPr>
        <w:rFonts w:ascii="Wingdings" w:hAnsi="Wingdings"/>
      </w:rPr>
    </w:lvl>
    <w:lvl w:ilvl="7" w:tentative="0">
      <w:start w:val="1"/>
      <w:numFmt w:val="bullet"/>
      <w:lvlText w:val=""/>
      <w:lvlJc w:val="left"/>
      <w:pPr>
        <w:tabs>
          <w:tab w:val="left" w:pos="3785"/>
        </w:tabs>
        <w:ind w:left="3785" w:hanging="420"/>
      </w:pPr>
      <w:rPr>
        <w:rFonts w:ascii="Wingdings" w:hAnsi="Wingdings"/>
      </w:rPr>
    </w:lvl>
    <w:lvl w:ilvl="8" w:tentative="0">
      <w:start w:val="1"/>
      <w:numFmt w:val="bullet"/>
      <w:lvlText w:val=""/>
      <w:lvlJc w:val="left"/>
      <w:pPr>
        <w:tabs>
          <w:tab w:val="left" w:pos="4205"/>
        </w:tabs>
        <w:ind w:left="4205" w:hanging="420"/>
      </w:pPr>
      <w:rPr>
        <w:rFonts w:ascii="Wingdings" w:hAnsi="Wingdings"/>
      </w:rPr>
    </w:lvl>
  </w:abstractNum>
  <w:abstractNum w:abstractNumId="31">
    <w:nsid w:val="0000002E"/>
    <w:multiLevelType w:val="multilevel"/>
    <w:tmpl w:val="0000002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2">
    <w:nsid w:val="00000030"/>
    <w:multiLevelType w:val="multilevel"/>
    <w:tmpl w:val="00000030"/>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3">
    <w:nsid w:val="00000032"/>
    <w:multiLevelType w:val="multilevel"/>
    <w:tmpl w:val="00000032"/>
    <w:lvl w:ilvl="0" w:tentative="0">
      <w:start w:val="1"/>
      <w:numFmt w:val="decimal"/>
      <w:lvlText w:val="%1)"/>
      <w:lvlJc w:val="left"/>
      <w:pPr>
        <w:tabs>
          <w:tab w:val="left" w:pos="420"/>
        </w:tabs>
        <w:ind w:left="420" w:hanging="420"/>
      </w:pPr>
    </w:lvl>
    <w:lvl w:ilvl="1" w:tentative="0">
      <w:start w:val="6"/>
      <w:numFmt w:val="decimal"/>
      <w:lvlText w:val="%2）"/>
      <w:lvlJc w:val="left"/>
      <w:pPr>
        <w:tabs>
          <w:tab w:val="left" w:pos="780"/>
        </w:tabs>
        <w:ind w:left="780" w:hanging="360"/>
      </w:pPr>
      <w:rPr>
        <w:rFonts w:hint="default"/>
        <w:color w:val="000000"/>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4">
    <w:nsid w:val="00000034"/>
    <w:multiLevelType w:val="multilevel"/>
    <w:tmpl w:val="00000034"/>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9"/>
      <w:numFmt w:val="decimal"/>
      <w:lvlText w:val="%3）"/>
      <w:lvlJc w:val="left"/>
      <w:pPr>
        <w:tabs>
          <w:tab w:val="left" w:pos="1200"/>
        </w:tabs>
        <w:ind w:left="1200" w:hanging="360"/>
      </w:pPr>
      <w:rPr>
        <w:rFonts w:hint="default"/>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5">
    <w:nsid w:val="00000035"/>
    <w:multiLevelType w:val="multilevel"/>
    <w:tmpl w:val="00000035"/>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6">
    <w:nsid w:val="00000037"/>
    <w:multiLevelType w:val="multilevel"/>
    <w:tmpl w:val="00000037"/>
    <w:lvl w:ilvl="0" w:tentative="0">
      <w:start w:val="1"/>
      <w:numFmt w:val="decimal"/>
      <w:lvlText w:val="%1."/>
      <w:lvlJc w:val="left"/>
      <w:pPr>
        <w:tabs>
          <w:tab w:val="left" w:pos="600"/>
        </w:tabs>
        <w:ind w:left="60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7">
    <w:nsid w:val="00000038"/>
    <w:multiLevelType w:val="multilevel"/>
    <w:tmpl w:val="00000038"/>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8">
    <w:nsid w:val="0000003A"/>
    <w:multiLevelType w:val="multilevel"/>
    <w:tmpl w:val="0000003A"/>
    <w:lvl w:ilvl="0" w:tentative="0">
      <w:start w:val="1"/>
      <w:numFmt w:val="decimal"/>
      <w:lvlText w:val="%1)"/>
      <w:lvlJc w:val="left"/>
      <w:pPr>
        <w:tabs>
          <w:tab w:val="left" w:pos="420"/>
        </w:tabs>
        <w:ind w:left="420" w:hanging="420"/>
      </w:pPr>
    </w:lvl>
    <w:lvl w:ilvl="1" w:tentative="0">
      <w:start w:val="2"/>
      <w:numFmt w:val="decimal"/>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9">
    <w:nsid w:val="0000003B"/>
    <w:multiLevelType w:val="multilevel"/>
    <w:tmpl w:val="0000003B"/>
    <w:lvl w:ilvl="0" w:tentative="0">
      <w:start w:val="1"/>
      <w:numFmt w:val="decimal"/>
      <w:lvlText w:val="%1)"/>
      <w:lvlJc w:val="left"/>
      <w:pPr>
        <w:tabs>
          <w:tab w:val="left" w:pos="420"/>
        </w:tabs>
        <w:ind w:left="420" w:hanging="420"/>
      </w:pPr>
    </w:lvl>
    <w:lvl w:ilvl="1" w:tentative="0">
      <w:start w:val="4"/>
      <w:numFmt w:val="decimal"/>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0">
    <w:nsid w:val="0000003C"/>
    <w:multiLevelType w:val="multilevel"/>
    <w:tmpl w:val="0000003C"/>
    <w:lvl w:ilvl="0" w:tentative="0">
      <w:start w:val="1"/>
      <w:numFmt w:val="decimal"/>
      <w:lvlText w:val="%1)"/>
      <w:lvlJc w:val="left"/>
      <w:pPr>
        <w:tabs>
          <w:tab w:val="left" w:pos="420"/>
        </w:tabs>
        <w:ind w:left="420" w:hanging="420"/>
      </w:pPr>
    </w:lvl>
    <w:lvl w:ilvl="1" w:tentative="0">
      <w:start w:val="8"/>
      <w:numFmt w:val="decimal"/>
      <w:lvlText w:val="%2）"/>
      <w:lvlJc w:val="left"/>
      <w:pPr>
        <w:tabs>
          <w:tab w:val="left" w:pos="780"/>
        </w:tabs>
        <w:ind w:left="780" w:hanging="360"/>
      </w:pPr>
      <w:rPr>
        <w:rFonts w:hint="default" w:ascii="宋体" w:hAnsi="宋体"/>
        <w:color w:val="000000"/>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1">
    <w:nsid w:val="0000003D"/>
    <w:multiLevelType w:val="multilevel"/>
    <w:tmpl w:val="0000003D"/>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2">
    <w:nsid w:val="032D1782"/>
    <w:multiLevelType w:val="multilevel"/>
    <w:tmpl w:val="032D1782"/>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43">
    <w:nsid w:val="03D70DB9"/>
    <w:multiLevelType w:val="multilevel"/>
    <w:tmpl w:val="03D70DB9"/>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44">
    <w:nsid w:val="042F24FB"/>
    <w:multiLevelType w:val="multilevel"/>
    <w:tmpl w:val="042F24FB"/>
    <w:lvl w:ilvl="0" w:tentative="0">
      <w:start w:val="1"/>
      <w:numFmt w:val="decimal"/>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5">
    <w:nsid w:val="08A145F3"/>
    <w:multiLevelType w:val="multilevel"/>
    <w:tmpl w:val="08A145F3"/>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46">
    <w:nsid w:val="15EC44C9"/>
    <w:multiLevelType w:val="multilevel"/>
    <w:tmpl w:val="15EC44C9"/>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47">
    <w:nsid w:val="1A992487"/>
    <w:multiLevelType w:val="multilevel"/>
    <w:tmpl w:val="1A992487"/>
    <w:lvl w:ilvl="0" w:tentative="0">
      <w:start w:val="1"/>
      <w:numFmt w:val="decimal"/>
      <w:lvlText w:val="%1)"/>
      <w:lvlJc w:val="left"/>
      <w:pPr>
        <w:tabs>
          <w:tab w:val="left" w:pos="1260"/>
        </w:tabs>
        <w:ind w:left="1260" w:hanging="420"/>
      </w:pPr>
    </w:lvl>
    <w:lvl w:ilvl="1" w:tentative="0">
      <w:start w:val="1"/>
      <w:numFmt w:val="lowerLetter"/>
      <w:lvlText w:val="%2)"/>
      <w:lvlJc w:val="left"/>
      <w:pPr>
        <w:tabs>
          <w:tab w:val="left" w:pos="1680"/>
        </w:tabs>
        <w:ind w:left="1680" w:hanging="420"/>
      </w:p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48">
    <w:nsid w:val="1AB725FB"/>
    <w:multiLevelType w:val="multilevel"/>
    <w:tmpl w:val="1AB725FB"/>
    <w:lvl w:ilvl="0" w:tentative="0">
      <w:start w:val="1"/>
      <w:numFmt w:val="decimal"/>
      <w:pStyle w:val="2"/>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9">
    <w:nsid w:val="1B8E4768"/>
    <w:multiLevelType w:val="multilevel"/>
    <w:tmpl w:val="1B8E4768"/>
    <w:lvl w:ilvl="0" w:tentative="0">
      <w:start w:val="1"/>
      <w:numFmt w:val="lowerLetter"/>
      <w:lvlText w:val="%1)"/>
      <w:lvlJc w:val="left"/>
      <w:pPr>
        <w:tabs>
          <w:tab w:val="left" w:pos="990"/>
        </w:tabs>
        <w:ind w:left="990" w:hanging="435"/>
      </w:pPr>
      <w:rPr>
        <w:rFonts w:hint="eastAsia" w:ascii="宋体" w:hAnsi="宋体" w:eastAsia="宋体"/>
      </w:rPr>
    </w:lvl>
    <w:lvl w:ilvl="1" w:tentative="0">
      <w:start w:val="1"/>
      <w:numFmt w:val="lowerLetter"/>
      <w:lvlText w:val="%2)"/>
      <w:lvlJc w:val="left"/>
      <w:pPr>
        <w:tabs>
          <w:tab w:val="left" w:pos="1395"/>
        </w:tabs>
        <w:ind w:left="1395" w:hanging="420"/>
      </w:pPr>
      <w:rPr>
        <w:rFonts w:hint="default" w:ascii="Times New Roman" w:hAnsi="Times New Roman" w:cs="Times New Roman"/>
      </w:rPr>
    </w:lvl>
    <w:lvl w:ilvl="2" w:tentative="0">
      <w:start w:val="1"/>
      <w:numFmt w:val="lowerRoman"/>
      <w:lvlText w:val="%3."/>
      <w:lvlJc w:val="right"/>
      <w:pPr>
        <w:tabs>
          <w:tab w:val="left" w:pos="1815"/>
        </w:tabs>
        <w:ind w:left="1815" w:hanging="420"/>
      </w:pPr>
      <w:rPr>
        <w:rFonts w:hint="default" w:ascii="Times New Roman" w:hAnsi="Times New Roman" w:cs="Times New Roman"/>
      </w:rPr>
    </w:lvl>
    <w:lvl w:ilvl="3" w:tentative="0">
      <w:start w:val="1"/>
      <w:numFmt w:val="decimal"/>
      <w:lvlText w:val="%4."/>
      <w:lvlJc w:val="left"/>
      <w:pPr>
        <w:tabs>
          <w:tab w:val="left" w:pos="2235"/>
        </w:tabs>
        <w:ind w:left="2235" w:hanging="420"/>
      </w:pPr>
      <w:rPr>
        <w:rFonts w:hint="default" w:ascii="Times New Roman" w:hAnsi="Times New Roman" w:cs="Times New Roman"/>
      </w:rPr>
    </w:lvl>
    <w:lvl w:ilvl="4" w:tentative="0">
      <w:start w:val="1"/>
      <w:numFmt w:val="lowerLetter"/>
      <w:lvlText w:val="%5)"/>
      <w:lvlJc w:val="left"/>
      <w:pPr>
        <w:tabs>
          <w:tab w:val="left" w:pos="2655"/>
        </w:tabs>
        <w:ind w:left="2655" w:hanging="420"/>
      </w:pPr>
      <w:rPr>
        <w:rFonts w:hint="default" w:ascii="Times New Roman" w:hAnsi="Times New Roman" w:cs="Times New Roman"/>
      </w:rPr>
    </w:lvl>
    <w:lvl w:ilvl="5" w:tentative="0">
      <w:start w:val="1"/>
      <w:numFmt w:val="lowerRoman"/>
      <w:lvlText w:val="%6."/>
      <w:lvlJc w:val="right"/>
      <w:pPr>
        <w:tabs>
          <w:tab w:val="left" w:pos="3075"/>
        </w:tabs>
        <w:ind w:left="3075" w:hanging="420"/>
      </w:pPr>
      <w:rPr>
        <w:rFonts w:hint="default" w:ascii="Times New Roman" w:hAnsi="Times New Roman" w:cs="Times New Roman"/>
      </w:rPr>
    </w:lvl>
    <w:lvl w:ilvl="6" w:tentative="0">
      <w:start w:val="1"/>
      <w:numFmt w:val="decimal"/>
      <w:lvlText w:val="%7."/>
      <w:lvlJc w:val="left"/>
      <w:pPr>
        <w:tabs>
          <w:tab w:val="left" w:pos="3495"/>
        </w:tabs>
        <w:ind w:left="3495" w:hanging="420"/>
      </w:pPr>
      <w:rPr>
        <w:rFonts w:hint="default" w:ascii="Times New Roman" w:hAnsi="Times New Roman" w:cs="Times New Roman"/>
      </w:rPr>
    </w:lvl>
    <w:lvl w:ilvl="7" w:tentative="0">
      <w:start w:val="1"/>
      <w:numFmt w:val="lowerLetter"/>
      <w:lvlText w:val="%8)"/>
      <w:lvlJc w:val="left"/>
      <w:pPr>
        <w:tabs>
          <w:tab w:val="left" w:pos="3915"/>
        </w:tabs>
        <w:ind w:left="3915" w:hanging="420"/>
      </w:pPr>
      <w:rPr>
        <w:rFonts w:hint="default" w:ascii="Times New Roman" w:hAnsi="Times New Roman" w:cs="Times New Roman"/>
      </w:rPr>
    </w:lvl>
    <w:lvl w:ilvl="8" w:tentative="0">
      <w:start w:val="1"/>
      <w:numFmt w:val="lowerRoman"/>
      <w:lvlText w:val="%9."/>
      <w:lvlJc w:val="right"/>
      <w:pPr>
        <w:tabs>
          <w:tab w:val="left" w:pos="4335"/>
        </w:tabs>
        <w:ind w:left="4335" w:hanging="420"/>
      </w:pPr>
      <w:rPr>
        <w:rFonts w:hint="default" w:ascii="Times New Roman" w:hAnsi="Times New Roman" w:cs="Times New Roman"/>
      </w:rPr>
    </w:lvl>
  </w:abstractNum>
  <w:abstractNum w:abstractNumId="50">
    <w:nsid w:val="20CB325D"/>
    <w:multiLevelType w:val="multilevel"/>
    <w:tmpl w:val="20CB325D"/>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1">
    <w:nsid w:val="233900B5"/>
    <w:multiLevelType w:val="multilevel"/>
    <w:tmpl w:val="233900B5"/>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2">
    <w:nsid w:val="2343766A"/>
    <w:multiLevelType w:val="multilevel"/>
    <w:tmpl w:val="2343766A"/>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3">
    <w:nsid w:val="24EA56D9"/>
    <w:multiLevelType w:val="multilevel"/>
    <w:tmpl w:val="24EA56D9"/>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4">
    <w:nsid w:val="2B1B703F"/>
    <w:multiLevelType w:val="multilevel"/>
    <w:tmpl w:val="2B1B703F"/>
    <w:lvl w:ilvl="0" w:tentative="0">
      <w:start w:val="29"/>
      <w:numFmt w:val="decimal"/>
      <w:pStyle w:val="109"/>
      <w:lvlText w:val="%1、"/>
      <w:lvlJc w:val="left"/>
      <w:pPr>
        <w:ind w:left="805" w:hanging="405"/>
      </w:pPr>
      <w:rPr>
        <w:rFonts w:hint="default"/>
      </w:rPr>
    </w:lvl>
    <w:lvl w:ilvl="1" w:tentative="0">
      <w:start w:val="1"/>
      <w:numFmt w:val="lowerLetter"/>
      <w:lvlText w:val="%2)"/>
      <w:lvlJc w:val="left"/>
      <w:pPr>
        <w:ind w:left="1240" w:hanging="420"/>
      </w:pPr>
    </w:lvl>
    <w:lvl w:ilvl="2" w:tentative="0">
      <w:start w:val="1"/>
      <w:numFmt w:val="lowerRoman"/>
      <w:lvlText w:val="%3."/>
      <w:lvlJc w:val="right"/>
      <w:pPr>
        <w:ind w:left="1660" w:hanging="420"/>
      </w:pPr>
    </w:lvl>
    <w:lvl w:ilvl="3" w:tentative="0">
      <w:start w:val="1"/>
      <w:numFmt w:val="decimal"/>
      <w:lvlText w:val="%4."/>
      <w:lvlJc w:val="left"/>
      <w:pPr>
        <w:ind w:left="2080" w:hanging="420"/>
      </w:pPr>
    </w:lvl>
    <w:lvl w:ilvl="4" w:tentative="0">
      <w:start w:val="1"/>
      <w:numFmt w:val="lowerLetter"/>
      <w:lvlText w:val="%5)"/>
      <w:lvlJc w:val="left"/>
      <w:pPr>
        <w:ind w:left="2500" w:hanging="420"/>
      </w:pPr>
    </w:lvl>
    <w:lvl w:ilvl="5" w:tentative="0">
      <w:start w:val="1"/>
      <w:numFmt w:val="lowerRoman"/>
      <w:lvlText w:val="%6."/>
      <w:lvlJc w:val="right"/>
      <w:pPr>
        <w:ind w:left="2920" w:hanging="420"/>
      </w:pPr>
    </w:lvl>
    <w:lvl w:ilvl="6" w:tentative="0">
      <w:start w:val="1"/>
      <w:numFmt w:val="decimal"/>
      <w:lvlText w:val="%7."/>
      <w:lvlJc w:val="left"/>
      <w:pPr>
        <w:ind w:left="3340" w:hanging="420"/>
      </w:pPr>
    </w:lvl>
    <w:lvl w:ilvl="7" w:tentative="0">
      <w:start w:val="1"/>
      <w:numFmt w:val="lowerLetter"/>
      <w:lvlText w:val="%8)"/>
      <w:lvlJc w:val="left"/>
      <w:pPr>
        <w:ind w:left="3760" w:hanging="420"/>
      </w:pPr>
    </w:lvl>
    <w:lvl w:ilvl="8" w:tentative="0">
      <w:start w:val="1"/>
      <w:numFmt w:val="lowerRoman"/>
      <w:lvlText w:val="%9."/>
      <w:lvlJc w:val="right"/>
      <w:pPr>
        <w:ind w:left="4180" w:hanging="420"/>
      </w:pPr>
    </w:lvl>
  </w:abstractNum>
  <w:abstractNum w:abstractNumId="55">
    <w:nsid w:val="308B02C3"/>
    <w:multiLevelType w:val="multilevel"/>
    <w:tmpl w:val="308B02C3"/>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6">
    <w:nsid w:val="343A63E6"/>
    <w:multiLevelType w:val="multilevel"/>
    <w:tmpl w:val="343A63E6"/>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7">
    <w:nsid w:val="34944D07"/>
    <w:multiLevelType w:val="multilevel"/>
    <w:tmpl w:val="34944D07"/>
    <w:lvl w:ilvl="0" w:tentative="0">
      <w:start w:val="1"/>
      <w:numFmt w:val="lowerLetter"/>
      <w:lvlText w:val="%1)"/>
      <w:lvlJc w:val="left"/>
      <w:pPr>
        <w:tabs>
          <w:tab w:val="left" w:pos="840"/>
        </w:tabs>
        <w:ind w:left="840" w:hanging="420"/>
      </w:pPr>
    </w:lvl>
    <w:lvl w:ilvl="1" w:tentative="0">
      <w:start w:val="1"/>
      <w:numFmt w:val="japaneseCounting"/>
      <w:lvlText w:val="第%2章"/>
      <w:lvlJc w:val="left"/>
      <w:pPr>
        <w:tabs>
          <w:tab w:val="left" w:pos="2100"/>
        </w:tabs>
        <w:ind w:left="2100" w:hanging="1260"/>
      </w:pPr>
      <w:rPr>
        <w:rFonts w:hint="default"/>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58">
    <w:nsid w:val="442A48DE"/>
    <w:multiLevelType w:val="multilevel"/>
    <w:tmpl w:val="442A48DE"/>
    <w:lvl w:ilvl="0" w:tentative="0">
      <w:start w:val="1"/>
      <w:numFmt w:val="decimal"/>
      <w:lvlText w:val="%1."/>
      <w:lvlJc w:val="left"/>
      <w:pPr>
        <w:tabs>
          <w:tab w:val="left" w:pos="566"/>
        </w:tabs>
        <w:ind w:left="566" w:hanging="425"/>
      </w:pPr>
    </w:lvl>
    <w:lvl w:ilvl="1" w:tentative="0">
      <w:start w:val="1"/>
      <w:numFmt w:val="decimal"/>
      <w:pStyle w:val="256"/>
      <w:lvlText w:val="%1.%2."/>
      <w:lvlJc w:val="left"/>
      <w:pPr>
        <w:tabs>
          <w:tab w:val="left" w:pos="708"/>
        </w:tabs>
        <w:ind w:left="708" w:hanging="567"/>
      </w:pPr>
    </w:lvl>
    <w:lvl w:ilvl="2" w:tentative="0">
      <w:start w:val="1"/>
      <w:numFmt w:val="decimal"/>
      <w:pStyle w:val="4"/>
      <w:lvlText w:val="%1.%2.%3."/>
      <w:lvlJc w:val="left"/>
      <w:pPr>
        <w:tabs>
          <w:tab w:val="left" w:pos="850"/>
        </w:tabs>
        <w:ind w:left="850" w:hanging="709"/>
      </w:pPr>
    </w:lvl>
    <w:lvl w:ilvl="3" w:tentative="0">
      <w:start w:val="1"/>
      <w:numFmt w:val="decimal"/>
      <w:lvlText w:val="%1.%2.%3.%4."/>
      <w:lvlJc w:val="left"/>
      <w:pPr>
        <w:tabs>
          <w:tab w:val="left" w:pos="992"/>
        </w:tabs>
        <w:ind w:left="992" w:hanging="851"/>
      </w:pPr>
    </w:lvl>
    <w:lvl w:ilvl="4" w:tentative="0">
      <w:start w:val="1"/>
      <w:numFmt w:val="decimal"/>
      <w:lvlText w:val="%1.%2.%3.%4.%5."/>
      <w:lvlJc w:val="left"/>
      <w:pPr>
        <w:tabs>
          <w:tab w:val="left" w:pos="1133"/>
        </w:tabs>
        <w:ind w:left="1133" w:hanging="992"/>
      </w:pPr>
    </w:lvl>
    <w:lvl w:ilvl="5" w:tentative="0">
      <w:start w:val="1"/>
      <w:numFmt w:val="decimal"/>
      <w:lvlText w:val="%1.%2.%3.%4.%5.%6."/>
      <w:lvlJc w:val="left"/>
      <w:pPr>
        <w:tabs>
          <w:tab w:val="left" w:pos="1275"/>
        </w:tabs>
        <w:ind w:left="1275" w:hanging="1134"/>
      </w:pPr>
    </w:lvl>
    <w:lvl w:ilvl="6" w:tentative="0">
      <w:start w:val="1"/>
      <w:numFmt w:val="decimal"/>
      <w:lvlText w:val="%1.%2.%3.%4.%5.%6.%7."/>
      <w:lvlJc w:val="left"/>
      <w:pPr>
        <w:tabs>
          <w:tab w:val="left" w:pos="1417"/>
        </w:tabs>
        <w:ind w:left="1417" w:hanging="1276"/>
      </w:pPr>
    </w:lvl>
    <w:lvl w:ilvl="7" w:tentative="0">
      <w:start w:val="1"/>
      <w:numFmt w:val="decimal"/>
      <w:lvlText w:val="%1.%2.%3.%4.%5.%6.%7.%8."/>
      <w:lvlJc w:val="left"/>
      <w:pPr>
        <w:tabs>
          <w:tab w:val="left" w:pos="1559"/>
        </w:tabs>
        <w:ind w:left="1559" w:hanging="1418"/>
      </w:pPr>
    </w:lvl>
    <w:lvl w:ilvl="8" w:tentative="0">
      <w:start w:val="1"/>
      <w:numFmt w:val="decimal"/>
      <w:lvlText w:val="%1.%2.%3.%4.%5.%6.%7.%8.%9."/>
      <w:lvlJc w:val="left"/>
      <w:pPr>
        <w:tabs>
          <w:tab w:val="left" w:pos="1700"/>
        </w:tabs>
        <w:ind w:left="1700" w:hanging="1559"/>
      </w:pPr>
    </w:lvl>
  </w:abstractNum>
  <w:abstractNum w:abstractNumId="59">
    <w:nsid w:val="57871756"/>
    <w:multiLevelType w:val="multilevel"/>
    <w:tmpl w:val="57871756"/>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0">
    <w:nsid w:val="5BAB7983"/>
    <w:multiLevelType w:val="multilevel"/>
    <w:tmpl w:val="5BAB7983"/>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61">
    <w:nsid w:val="667260FA"/>
    <w:multiLevelType w:val="multilevel"/>
    <w:tmpl w:val="667260FA"/>
    <w:lvl w:ilvl="0" w:tentative="0">
      <w:start w:val="1"/>
      <w:numFmt w:val="decimal"/>
      <w:suff w:val="nothing"/>
      <w:lvlText w:val="%1 "/>
      <w:lvlJc w:val="left"/>
      <w:pPr>
        <w:ind w:left="0" w:firstLine="0"/>
      </w:pPr>
      <w:rPr>
        <w:rFonts w:hint="eastAsia"/>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62">
    <w:nsid w:val="701178D8"/>
    <w:multiLevelType w:val="multilevel"/>
    <w:tmpl w:val="701178D8"/>
    <w:lvl w:ilvl="0" w:tentative="0">
      <w:start w:val="1"/>
      <w:numFmt w:val="chineseCountingThousand"/>
      <w:lvlText w:val="(%1)"/>
      <w:lvlJc w:val="left"/>
      <w:pPr>
        <w:tabs>
          <w:tab w:val="left" w:pos="780"/>
        </w:tabs>
        <w:ind w:left="78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3">
    <w:nsid w:val="75F461B2"/>
    <w:multiLevelType w:val="multilevel"/>
    <w:tmpl w:val="75F461B2"/>
    <w:lvl w:ilvl="0" w:tentative="0">
      <w:start w:val="2"/>
      <w:numFmt w:val="upperLetter"/>
      <w:pStyle w:val="5"/>
      <w:lvlText w:val="%1."/>
      <w:lvlJc w:val="left"/>
      <w:pPr>
        <w:tabs>
          <w:tab w:val="left" w:pos="360"/>
        </w:tabs>
        <w:ind w:left="360" w:hanging="360"/>
      </w:pPr>
      <w:rPr>
        <w:rFonts w:hint="eastAsia"/>
      </w:rPr>
    </w:lvl>
    <w:lvl w:ilvl="1" w:tentative="0">
      <w:start w:val="25"/>
      <w:numFmt w:val="decimal"/>
      <w:lvlText w:val="%2、"/>
      <w:lvlJc w:val="left"/>
      <w:pPr>
        <w:tabs>
          <w:tab w:val="left" w:pos="840"/>
        </w:tabs>
        <w:ind w:left="840" w:hanging="420"/>
      </w:pPr>
      <w:rPr>
        <w:rFonts w:hint="eastAsia"/>
      </w:rPr>
    </w:lvl>
    <w:lvl w:ilvl="2" w:tentative="0">
      <w:start w:val="3"/>
      <w:numFmt w:val="japaneseCounting"/>
      <w:lvlText w:val="%3、"/>
      <w:lvlJc w:val="left"/>
      <w:pPr>
        <w:tabs>
          <w:tab w:val="left" w:pos="1260"/>
        </w:tabs>
        <w:ind w:left="1260" w:hanging="420"/>
      </w:pPr>
      <w:rPr>
        <w:rFonts w:hint="eastAsia"/>
      </w:rPr>
    </w:lvl>
    <w:lvl w:ilvl="3" w:tentative="0">
      <w:start w:val="1"/>
      <w:numFmt w:val="decimal"/>
      <w:lvlText w:val="（%4）"/>
      <w:lvlJc w:val="left"/>
      <w:pPr>
        <w:tabs>
          <w:tab w:val="left" w:pos="1980"/>
        </w:tabs>
        <w:ind w:left="1980" w:hanging="720"/>
      </w:pPr>
      <w:rPr>
        <w:rFonts w:hint="eastAsia"/>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4">
    <w:nsid w:val="7AF00DAD"/>
    <w:multiLevelType w:val="multilevel"/>
    <w:tmpl w:val="7AF00DAD"/>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48"/>
  </w:num>
  <w:num w:numId="2">
    <w:abstractNumId w:val="58"/>
  </w:num>
  <w:num w:numId="3">
    <w:abstractNumId w:val="63"/>
  </w:num>
  <w:num w:numId="4">
    <w:abstractNumId w:val="54"/>
  </w:num>
  <w:num w:numId="5">
    <w:abstractNumId w:val="50"/>
  </w:num>
  <w:num w:numId="6">
    <w:abstractNumId w:val="51"/>
  </w:num>
  <w:num w:numId="7">
    <w:abstractNumId w:val="43"/>
  </w:num>
  <w:num w:numId="8">
    <w:abstractNumId w:val="53"/>
  </w:num>
  <w:num w:numId="9">
    <w:abstractNumId w:val="42"/>
  </w:num>
  <w:num w:numId="10">
    <w:abstractNumId w:val="45"/>
  </w:num>
  <w:num w:numId="11">
    <w:abstractNumId w:val="56"/>
  </w:num>
  <w:num w:numId="12">
    <w:abstractNumId w:val="55"/>
  </w:num>
  <w:num w:numId="13">
    <w:abstractNumId w:val="52"/>
  </w:num>
  <w:num w:numId="14">
    <w:abstractNumId w:val="46"/>
  </w:num>
  <w:num w:numId="15">
    <w:abstractNumId w:val="60"/>
  </w:num>
  <w:num w:numId="16">
    <w:abstractNumId w:val="61"/>
  </w:num>
  <w:num w:numId="17">
    <w:abstractNumId w:val="47"/>
  </w:num>
  <w:num w:numId="18">
    <w:abstractNumId w:val="57"/>
  </w:num>
  <w:num w:numId="19">
    <w:abstractNumId w:val="62"/>
  </w:num>
  <w:num w:numId="20">
    <w:abstractNumId w:val="59"/>
    <w:lvlOverride w:ilvl="0">
      <w:startOverride w:val="1"/>
    </w:lvlOverride>
  </w:num>
  <w:num w:numId="21">
    <w:abstractNumId w:val="64"/>
  </w:num>
  <w:num w:numId="22">
    <w:abstractNumId w:val="36"/>
  </w:num>
  <w:num w:numId="23">
    <w:abstractNumId w:val="27"/>
  </w:num>
  <w:num w:numId="24">
    <w:abstractNumId w:val="9"/>
  </w:num>
  <w:num w:numId="25">
    <w:abstractNumId w:val="39"/>
  </w:num>
  <w:num w:numId="26">
    <w:abstractNumId w:val="38"/>
  </w:num>
  <w:num w:numId="27">
    <w:abstractNumId w:val="15"/>
  </w:num>
  <w:num w:numId="28">
    <w:abstractNumId w:val="4"/>
  </w:num>
  <w:num w:numId="29">
    <w:abstractNumId w:val="3"/>
  </w:num>
  <w:num w:numId="30">
    <w:abstractNumId w:val="6"/>
  </w:num>
  <w:num w:numId="31">
    <w:abstractNumId w:val="23"/>
  </w:num>
  <w:num w:numId="32">
    <w:abstractNumId w:val="34"/>
  </w:num>
  <w:num w:numId="33">
    <w:abstractNumId w:val="35"/>
  </w:num>
  <w:num w:numId="34">
    <w:abstractNumId w:val="5"/>
  </w:num>
  <w:num w:numId="35">
    <w:abstractNumId w:val="33"/>
  </w:num>
  <w:num w:numId="36">
    <w:abstractNumId w:val="40"/>
  </w:num>
  <w:num w:numId="37">
    <w:abstractNumId w:val="17"/>
  </w:num>
  <w:num w:numId="38">
    <w:abstractNumId w:val="10"/>
  </w:num>
  <w:num w:numId="39">
    <w:abstractNumId w:val="28"/>
  </w:num>
  <w:num w:numId="40">
    <w:abstractNumId w:val="13"/>
  </w:num>
  <w:num w:numId="41">
    <w:abstractNumId w:val="21"/>
  </w:num>
  <w:num w:numId="42">
    <w:abstractNumId w:val="18"/>
  </w:num>
  <w:num w:numId="43">
    <w:abstractNumId w:val="19"/>
  </w:num>
  <w:num w:numId="44">
    <w:abstractNumId w:val="0"/>
  </w:num>
  <w:num w:numId="45">
    <w:abstractNumId w:val="2"/>
  </w:num>
  <w:num w:numId="46">
    <w:abstractNumId w:val="14"/>
  </w:num>
  <w:num w:numId="47">
    <w:abstractNumId w:val="24"/>
  </w:num>
  <w:num w:numId="48">
    <w:abstractNumId w:val="16"/>
  </w:num>
  <w:num w:numId="49">
    <w:abstractNumId w:val="32"/>
  </w:num>
  <w:num w:numId="50">
    <w:abstractNumId w:val="41"/>
  </w:num>
  <w:num w:numId="51">
    <w:abstractNumId w:val="20"/>
  </w:num>
  <w:num w:numId="52">
    <w:abstractNumId w:val="22"/>
  </w:num>
  <w:num w:numId="53">
    <w:abstractNumId w:val="11"/>
  </w:num>
  <w:num w:numId="54">
    <w:abstractNumId w:val="1"/>
  </w:num>
  <w:num w:numId="55">
    <w:abstractNumId w:val="7"/>
  </w:num>
  <w:num w:numId="56">
    <w:abstractNumId w:val="26"/>
  </w:num>
  <w:num w:numId="57">
    <w:abstractNumId w:val="25"/>
  </w:num>
  <w:num w:numId="58">
    <w:abstractNumId w:val="8"/>
  </w:num>
  <w:num w:numId="59">
    <w:abstractNumId w:val="12"/>
  </w:num>
  <w:num w:numId="60">
    <w:abstractNumId w:val="37"/>
  </w:num>
  <w:num w:numId="61">
    <w:abstractNumId w:val="30"/>
  </w:num>
  <w:num w:numId="62">
    <w:abstractNumId w:val="29"/>
  </w:num>
  <w:num w:numId="63">
    <w:abstractNumId w:val="31"/>
  </w:num>
  <w:num w:numId="6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2"/>
  <w:bordersDoNotSurroundHeader w:val="1"/>
  <w:bordersDoNotSurroundFooter w:val="1"/>
  <w:hideSpelling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6977"/>
    <w:rsid w:val="00003DF1"/>
    <w:rsid w:val="0000486C"/>
    <w:rsid w:val="00011858"/>
    <w:rsid w:val="000124C9"/>
    <w:rsid w:val="00015A0A"/>
    <w:rsid w:val="00016977"/>
    <w:rsid w:val="00020B2A"/>
    <w:rsid w:val="00023DAA"/>
    <w:rsid w:val="00025D04"/>
    <w:rsid w:val="00031F69"/>
    <w:rsid w:val="00035939"/>
    <w:rsid w:val="0004440D"/>
    <w:rsid w:val="00046929"/>
    <w:rsid w:val="000477CF"/>
    <w:rsid w:val="00051607"/>
    <w:rsid w:val="00054789"/>
    <w:rsid w:val="000572DD"/>
    <w:rsid w:val="000749EE"/>
    <w:rsid w:val="0007540A"/>
    <w:rsid w:val="000771C5"/>
    <w:rsid w:val="00077926"/>
    <w:rsid w:val="00082145"/>
    <w:rsid w:val="000874CA"/>
    <w:rsid w:val="00090B37"/>
    <w:rsid w:val="00091344"/>
    <w:rsid w:val="000950A4"/>
    <w:rsid w:val="0009596F"/>
    <w:rsid w:val="000A2C9B"/>
    <w:rsid w:val="000B02CB"/>
    <w:rsid w:val="000B1AD7"/>
    <w:rsid w:val="000B41BA"/>
    <w:rsid w:val="000C41FA"/>
    <w:rsid w:val="000D005D"/>
    <w:rsid w:val="000D20F2"/>
    <w:rsid w:val="000D25B6"/>
    <w:rsid w:val="000D2A51"/>
    <w:rsid w:val="000D44DC"/>
    <w:rsid w:val="000E4F5B"/>
    <w:rsid w:val="000E61A1"/>
    <w:rsid w:val="000F0AE9"/>
    <w:rsid w:val="00102FD8"/>
    <w:rsid w:val="00104A8F"/>
    <w:rsid w:val="00107651"/>
    <w:rsid w:val="00110E9F"/>
    <w:rsid w:val="00112F9A"/>
    <w:rsid w:val="001134E9"/>
    <w:rsid w:val="00115333"/>
    <w:rsid w:val="0011673B"/>
    <w:rsid w:val="001212B2"/>
    <w:rsid w:val="00125DAF"/>
    <w:rsid w:val="00130AF1"/>
    <w:rsid w:val="00133472"/>
    <w:rsid w:val="00136578"/>
    <w:rsid w:val="00136B3A"/>
    <w:rsid w:val="00137554"/>
    <w:rsid w:val="0015168C"/>
    <w:rsid w:val="00154755"/>
    <w:rsid w:val="001560F5"/>
    <w:rsid w:val="00157A44"/>
    <w:rsid w:val="00157ABF"/>
    <w:rsid w:val="00161E0A"/>
    <w:rsid w:val="0017107A"/>
    <w:rsid w:val="00172ED6"/>
    <w:rsid w:val="001739DC"/>
    <w:rsid w:val="00182677"/>
    <w:rsid w:val="00182C99"/>
    <w:rsid w:val="001836D6"/>
    <w:rsid w:val="00183FEF"/>
    <w:rsid w:val="001846AA"/>
    <w:rsid w:val="001A1BEA"/>
    <w:rsid w:val="001A4BC5"/>
    <w:rsid w:val="001B1A5A"/>
    <w:rsid w:val="001B2B4E"/>
    <w:rsid w:val="001B35BF"/>
    <w:rsid w:val="001B3B14"/>
    <w:rsid w:val="001B3C87"/>
    <w:rsid w:val="001C5715"/>
    <w:rsid w:val="001D196B"/>
    <w:rsid w:val="001D39FA"/>
    <w:rsid w:val="001D4BD8"/>
    <w:rsid w:val="001D61C5"/>
    <w:rsid w:val="001D7B5D"/>
    <w:rsid w:val="001E404E"/>
    <w:rsid w:val="001F6A35"/>
    <w:rsid w:val="001F7D3D"/>
    <w:rsid w:val="00200A8D"/>
    <w:rsid w:val="002076AB"/>
    <w:rsid w:val="00210700"/>
    <w:rsid w:val="00213D3C"/>
    <w:rsid w:val="00214AEE"/>
    <w:rsid w:val="00223E9D"/>
    <w:rsid w:val="00237348"/>
    <w:rsid w:val="00240801"/>
    <w:rsid w:val="00240EA4"/>
    <w:rsid w:val="002417E6"/>
    <w:rsid w:val="0024204D"/>
    <w:rsid w:val="0025240B"/>
    <w:rsid w:val="00253668"/>
    <w:rsid w:val="0025650A"/>
    <w:rsid w:val="00262920"/>
    <w:rsid w:val="00263604"/>
    <w:rsid w:val="002643F5"/>
    <w:rsid w:val="00265AF2"/>
    <w:rsid w:val="002747D2"/>
    <w:rsid w:val="00274CC4"/>
    <w:rsid w:val="002750A9"/>
    <w:rsid w:val="00281D51"/>
    <w:rsid w:val="00292CD3"/>
    <w:rsid w:val="002930FD"/>
    <w:rsid w:val="00296B53"/>
    <w:rsid w:val="002B5D13"/>
    <w:rsid w:val="002B61AD"/>
    <w:rsid w:val="002C39A9"/>
    <w:rsid w:val="002C4BA4"/>
    <w:rsid w:val="002C602B"/>
    <w:rsid w:val="002C6FCD"/>
    <w:rsid w:val="002D0E64"/>
    <w:rsid w:val="002D1EE9"/>
    <w:rsid w:val="002D67DD"/>
    <w:rsid w:val="002E4927"/>
    <w:rsid w:val="002F116F"/>
    <w:rsid w:val="002F1BE0"/>
    <w:rsid w:val="002F27EB"/>
    <w:rsid w:val="002F2B61"/>
    <w:rsid w:val="002F4F49"/>
    <w:rsid w:val="003018C2"/>
    <w:rsid w:val="0030770C"/>
    <w:rsid w:val="00307ED7"/>
    <w:rsid w:val="0031183A"/>
    <w:rsid w:val="00311E2C"/>
    <w:rsid w:val="00315C6A"/>
    <w:rsid w:val="0031712C"/>
    <w:rsid w:val="0032007F"/>
    <w:rsid w:val="0032120C"/>
    <w:rsid w:val="00322942"/>
    <w:rsid w:val="00322CCA"/>
    <w:rsid w:val="0032404A"/>
    <w:rsid w:val="00325626"/>
    <w:rsid w:val="00325951"/>
    <w:rsid w:val="00326026"/>
    <w:rsid w:val="003331BA"/>
    <w:rsid w:val="003447A4"/>
    <w:rsid w:val="003530FF"/>
    <w:rsid w:val="003608AA"/>
    <w:rsid w:val="003610D6"/>
    <w:rsid w:val="00363140"/>
    <w:rsid w:val="00364209"/>
    <w:rsid w:val="00364E7C"/>
    <w:rsid w:val="0037687E"/>
    <w:rsid w:val="003770EA"/>
    <w:rsid w:val="0038353D"/>
    <w:rsid w:val="003847BD"/>
    <w:rsid w:val="0038687F"/>
    <w:rsid w:val="0038751A"/>
    <w:rsid w:val="00391523"/>
    <w:rsid w:val="00396018"/>
    <w:rsid w:val="00397E13"/>
    <w:rsid w:val="003A2C77"/>
    <w:rsid w:val="003A2EDE"/>
    <w:rsid w:val="003A619A"/>
    <w:rsid w:val="003A66F9"/>
    <w:rsid w:val="003B0678"/>
    <w:rsid w:val="003B1EB3"/>
    <w:rsid w:val="003B6718"/>
    <w:rsid w:val="003C04D4"/>
    <w:rsid w:val="003C05C9"/>
    <w:rsid w:val="003C17CB"/>
    <w:rsid w:val="003C2226"/>
    <w:rsid w:val="003C234D"/>
    <w:rsid w:val="003C73A8"/>
    <w:rsid w:val="003C7891"/>
    <w:rsid w:val="003D1C96"/>
    <w:rsid w:val="003D2C55"/>
    <w:rsid w:val="003E06CF"/>
    <w:rsid w:val="003E5364"/>
    <w:rsid w:val="003F539D"/>
    <w:rsid w:val="00406269"/>
    <w:rsid w:val="00410104"/>
    <w:rsid w:val="00410431"/>
    <w:rsid w:val="0041591F"/>
    <w:rsid w:val="00421E10"/>
    <w:rsid w:val="00424CDF"/>
    <w:rsid w:val="00433755"/>
    <w:rsid w:val="00437CD3"/>
    <w:rsid w:val="004445DB"/>
    <w:rsid w:val="00446526"/>
    <w:rsid w:val="00450841"/>
    <w:rsid w:val="004654F3"/>
    <w:rsid w:val="00470CA4"/>
    <w:rsid w:val="00471162"/>
    <w:rsid w:val="00472EC3"/>
    <w:rsid w:val="0048170E"/>
    <w:rsid w:val="00483AF9"/>
    <w:rsid w:val="0049005A"/>
    <w:rsid w:val="00490F17"/>
    <w:rsid w:val="004A3237"/>
    <w:rsid w:val="004A4F2C"/>
    <w:rsid w:val="004A6FEB"/>
    <w:rsid w:val="004A7B85"/>
    <w:rsid w:val="004B75B4"/>
    <w:rsid w:val="004C0110"/>
    <w:rsid w:val="004C2D02"/>
    <w:rsid w:val="004D3A94"/>
    <w:rsid w:val="004D4D27"/>
    <w:rsid w:val="004E2161"/>
    <w:rsid w:val="004E26D4"/>
    <w:rsid w:val="004E4323"/>
    <w:rsid w:val="004E5E18"/>
    <w:rsid w:val="004F651C"/>
    <w:rsid w:val="004F6564"/>
    <w:rsid w:val="00500D2B"/>
    <w:rsid w:val="00501473"/>
    <w:rsid w:val="00502FC2"/>
    <w:rsid w:val="0050671A"/>
    <w:rsid w:val="00506B3F"/>
    <w:rsid w:val="00514C10"/>
    <w:rsid w:val="005206C6"/>
    <w:rsid w:val="0052350A"/>
    <w:rsid w:val="00526E34"/>
    <w:rsid w:val="00533244"/>
    <w:rsid w:val="005340FC"/>
    <w:rsid w:val="0053519C"/>
    <w:rsid w:val="005424B0"/>
    <w:rsid w:val="00542958"/>
    <w:rsid w:val="0054375F"/>
    <w:rsid w:val="00544D09"/>
    <w:rsid w:val="005526DE"/>
    <w:rsid w:val="00552B94"/>
    <w:rsid w:val="00555C0D"/>
    <w:rsid w:val="00557E32"/>
    <w:rsid w:val="00562D5A"/>
    <w:rsid w:val="005637AB"/>
    <w:rsid w:val="0057232E"/>
    <w:rsid w:val="00574770"/>
    <w:rsid w:val="0057525B"/>
    <w:rsid w:val="00577F6D"/>
    <w:rsid w:val="00583CCA"/>
    <w:rsid w:val="00587AB0"/>
    <w:rsid w:val="00591379"/>
    <w:rsid w:val="00593DAA"/>
    <w:rsid w:val="00594744"/>
    <w:rsid w:val="00594AF1"/>
    <w:rsid w:val="00596794"/>
    <w:rsid w:val="00596993"/>
    <w:rsid w:val="00597B0D"/>
    <w:rsid w:val="005A7130"/>
    <w:rsid w:val="005A771B"/>
    <w:rsid w:val="005B0974"/>
    <w:rsid w:val="005B2BFE"/>
    <w:rsid w:val="005B4823"/>
    <w:rsid w:val="005B5E7E"/>
    <w:rsid w:val="005B64F9"/>
    <w:rsid w:val="005B744E"/>
    <w:rsid w:val="005C21D1"/>
    <w:rsid w:val="005C5CA7"/>
    <w:rsid w:val="005C5DC8"/>
    <w:rsid w:val="005C6203"/>
    <w:rsid w:val="005D313B"/>
    <w:rsid w:val="005D679A"/>
    <w:rsid w:val="005E0927"/>
    <w:rsid w:val="005E20A3"/>
    <w:rsid w:val="005E7141"/>
    <w:rsid w:val="005F0122"/>
    <w:rsid w:val="005F1FC1"/>
    <w:rsid w:val="005F5EA9"/>
    <w:rsid w:val="005F7B0F"/>
    <w:rsid w:val="00601DFF"/>
    <w:rsid w:val="00610B0C"/>
    <w:rsid w:val="00611330"/>
    <w:rsid w:val="00614C35"/>
    <w:rsid w:val="00622D4D"/>
    <w:rsid w:val="00622F97"/>
    <w:rsid w:val="00623845"/>
    <w:rsid w:val="00625DC6"/>
    <w:rsid w:val="00627A06"/>
    <w:rsid w:val="00630E52"/>
    <w:rsid w:val="00636C2F"/>
    <w:rsid w:val="0065659C"/>
    <w:rsid w:val="0066082E"/>
    <w:rsid w:val="006621D1"/>
    <w:rsid w:val="00666FA5"/>
    <w:rsid w:val="00667A8D"/>
    <w:rsid w:val="00675940"/>
    <w:rsid w:val="00676464"/>
    <w:rsid w:val="00677106"/>
    <w:rsid w:val="00677913"/>
    <w:rsid w:val="00681E6C"/>
    <w:rsid w:val="00681ED6"/>
    <w:rsid w:val="00682AA9"/>
    <w:rsid w:val="006844D8"/>
    <w:rsid w:val="00684C2F"/>
    <w:rsid w:val="00685175"/>
    <w:rsid w:val="00687D88"/>
    <w:rsid w:val="00693FBB"/>
    <w:rsid w:val="006959D6"/>
    <w:rsid w:val="00696E07"/>
    <w:rsid w:val="00697FD8"/>
    <w:rsid w:val="006A12E1"/>
    <w:rsid w:val="006A1F8B"/>
    <w:rsid w:val="006C605F"/>
    <w:rsid w:val="006C61AB"/>
    <w:rsid w:val="006C7673"/>
    <w:rsid w:val="006D2D0B"/>
    <w:rsid w:val="006E0CEE"/>
    <w:rsid w:val="006F33EB"/>
    <w:rsid w:val="006F455F"/>
    <w:rsid w:val="00704A13"/>
    <w:rsid w:val="00706679"/>
    <w:rsid w:val="007114EB"/>
    <w:rsid w:val="0071241F"/>
    <w:rsid w:val="00714FAB"/>
    <w:rsid w:val="007150E9"/>
    <w:rsid w:val="00715F65"/>
    <w:rsid w:val="00720998"/>
    <w:rsid w:val="00726309"/>
    <w:rsid w:val="00732E16"/>
    <w:rsid w:val="007332B2"/>
    <w:rsid w:val="00737A92"/>
    <w:rsid w:val="007424D6"/>
    <w:rsid w:val="007446F6"/>
    <w:rsid w:val="00746345"/>
    <w:rsid w:val="00752D45"/>
    <w:rsid w:val="00757D3D"/>
    <w:rsid w:val="00767D7F"/>
    <w:rsid w:val="007731EF"/>
    <w:rsid w:val="007741FA"/>
    <w:rsid w:val="00775232"/>
    <w:rsid w:val="007762B8"/>
    <w:rsid w:val="00776D5E"/>
    <w:rsid w:val="00783003"/>
    <w:rsid w:val="007838CF"/>
    <w:rsid w:val="007851FA"/>
    <w:rsid w:val="00787DF0"/>
    <w:rsid w:val="00794D40"/>
    <w:rsid w:val="007A0C41"/>
    <w:rsid w:val="007B700B"/>
    <w:rsid w:val="007B7BEA"/>
    <w:rsid w:val="007C1961"/>
    <w:rsid w:val="007C2B75"/>
    <w:rsid w:val="007C4BDE"/>
    <w:rsid w:val="007C7833"/>
    <w:rsid w:val="007D3C7E"/>
    <w:rsid w:val="007E0378"/>
    <w:rsid w:val="007E73F2"/>
    <w:rsid w:val="00800D06"/>
    <w:rsid w:val="008010C7"/>
    <w:rsid w:val="00801F70"/>
    <w:rsid w:val="008107CF"/>
    <w:rsid w:val="008136B5"/>
    <w:rsid w:val="008150D6"/>
    <w:rsid w:val="00817CC0"/>
    <w:rsid w:val="00824262"/>
    <w:rsid w:val="0082429F"/>
    <w:rsid w:val="008244AD"/>
    <w:rsid w:val="00825707"/>
    <w:rsid w:val="0082603D"/>
    <w:rsid w:val="00827A7E"/>
    <w:rsid w:val="00840211"/>
    <w:rsid w:val="00843BBB"/>
    <w:rsid w:val="0084687B"/>
    <w:rsid w:val="008512ED"/>
    <w:rsid w:val="00852679"/>
    <w:rsid w:val="008570F7"/>
    <w:rsid w:val="008572C6"/>
    <w:rsid w:val="008619F5"/>
    <w:rsid w:val="0086293C"/>
    <w:rsid w:val="0086343A"/>
    <w:rsid w:val="0086684C"/>
    <w:rsid w:val="00867023"/>
    <w:rsid w:val="00870538"/>
    <w:rsid w:val="00876A21"/>
    <w:rsid w:val="00876B0F"/>
    <w:rsid w:val="00880978"/>
    <w:rsid w:val="00882755"/>
    <w:rsid w:val="008865EB"/>
    <w:rsid w:val="00887DE7"/>
    <w:rsid w:val="00890DAD"/>
    <w:rsid w:val="008928A8"/>
    <w:rsid w:val="00893993"/>
    <w:rsid w:val="00895716"/>
    <w:rsid w:val="008B3210"/>
    <w:rsid w:val="008B36F4"/>
    <w:rsid w:val="008C107F"/>
    <w:rsid w:val="008C1E60"/>
    <w:rsid w:val="008C5569"/>
    <w:rsid w:val="008D047F"/>
    <w:rsid w:val="008D4276"/>
    <w:rsid w:val="008D436B"/>
    <w:rsid w:val="008D4BCA"/>
    <w:rsid w:val="008D5D16"/>
    <w:rsid w:val="008D5D4D"/>
    <w:rsid w:val="008F1832"/>
    <w:rsid w:val="008F198C"/>
    <w:rsid w:val="008F57DC"/>
    <w:rsid w:val="00902BC1"/>
    <w:rsid w:val="009133A4"/>
    <w:rsid w:val="009138A1"/>
    <w:rsid w:val="00914DA5"/>
    <w:rsid w:val="0091512C"/>
    <w:rsid w:val="00921E55"/>
    <w:rsid w:val="00923D93"/>
    <w:rsid w:val="009253BE"/>
    <w:rsid w:val="0092605E"/>
    <w:rsid w:val="009342B1"/>
    <w:rsid w:val="00940600"/>
    <w:rsid w:val="009446C4"/>
    <w:rsid w:val="00952834"/>
    <w:rsid w:val="0095343F"/>
    <w:rsid w:val="00955B6F"/>
    <w:rsid w:val="00955C51"/>
    <w:rsid w:val="0097599E"/>
    <w:rsid w:val="009825FE"/>
    <w:rsid w:val="009844DD"/>
    <w:rsid w:val="00985531"/>
    <w:rsid w:val="009869BB"/>
    <w:rsid w:val="00986C8D"/>
    <w:rsid w:val="0099395B"/>
    <w:rsid w:val="00997BB9"/>
    <w:rsid w:val="009A0084"/>
    <w:rsid w:val="009A3396"/>
    <w:rsid w:val="009A4C0B"/>
    <w:rsid w:val="009A563B"/>
    <w:rsid w:val="009B11DA"/>
    <w:rsid w:val="009D1D2F"/>
    <w:rsid w:val="009D2776"/>
    <w:rsid w:val="009D2A96"/>
    <w:rsid w:val="009D2FBB"/>
    <w:rsid w:val="009E1C3C"/>
    <w:rsid w:val="009E2C1B"/>
    <w:rsid w:val="009F4614"/>
    <w:rsid w:val="009F53C3"/>
    <w:rsid w:val="00A040CD"/>
    <w:rsid w:val="00A04F35"/>
    <w:rsid w:val="00A07D09"/>
    <w:rsid w:val="00A20490"/>
    <w:rsid w:val="00A2355B"/>
    <w:rsid w:val="00A2665F"/>
    <w:rsid w:val="00A31D06"/>
    <w:rsid w:val="00A33079"/>
    <w:rsid w:val="00A37501"/>
    <w:rsid w:val="00A414FE"/>
    <w:rsid w:val="00A50C41"/>
    <w:rsid w:val="00A5180C"/>
    <w:rsid w:val="00A530C5"/>
    <w:rsid w:val="00A6019D"/>
    <w:rsid w:val="00A62054"/>
    <w:rsid w:val="00A66B8C"/>
    <w:rsid w:val="00A67643"/>
    <w:rsid w:val="00A7336E"/>
    <w:rsid w:val="00A81F5F"/>
    <w:rsid w:val="00A8343D"/>
    <w:rsid w:val="00A8666C"/>
    <w:rsid w:val="00A90BBD"/>
    <w:rsid w:val="00A95861"/>
    <w:rsid w:val="00AA228C"/>
    <w:rsid w:val="00AA7967"/>
    <w:rsid w:val="00AB4868"/>
    <w:rsid w:val="00AB613D"/>
    <w:rsid w:val="00AC7FE0"/>
    <w:rsid w:val="00AD43BA"/>
    <w:rsid w:val="00AD7F18"/>
    <w:rsid w:val="00AF1117"/>
    <w:rsid w:val="00AF2543"/>
    <w:rsid w:val="00AF2DA8"/>
    <w:rsid w:val="00B04C1E"/>
    <w:rsid w:val="00B13CEB"/>
    <w:rsid w:val="00B158E6"/>
    <w:rsid w:val="00B15F6E"/>
    <w:rsid w:val="00B22271"/>
    <w:rsid w:val="00B237E3"/>
    <w:rsid w:val="00B24A3C"/>
    <w:rsid w:val="00B25764"/>
    <w:rsid w:val="00B259F1"/>
    <w:rsid w:val="00B25FF7"/>
    <w:rsid w:val="00B35FD5"/>
    <w:rsid w:val="00B36C15"/>
    <w:rsid w:val="00B418A3"/>
    <w:rsid w:val="00B41986"/>
    <w:rsid w:val="00B41D8B"/>
    <w:rsid w:val="00B46A1A"/>
    <w:rsid w:val="00B46E02"/>
    <w:rsid w:val="00B47BE7"/>
    <w:rsid w:val="00B512F8"/>
    <w:rsid w:val="00B52F07"/>
    <w:rsid w:val="00B53341"/>
    <w:rsid w:val="00B53AC8"/>
    <w:rsid w:val="00B625E9"/>
    <w:rsid w:val="00B70F96"/>
    <w:rsid w:val="00B75F7B"/>
    <w:rsid w:val="00B77194"/>
    <w:rsid w:val="00B77217"/>
    <w:rsid w:val="00B77EDF"/>
    <w:rsid w:val="00B81A69"/>
    <w:rsid w:val="00B81CF1"/>
    <w:rsid w:val="00B90A4E"/>
    <w:rsid w:val="00B92D49"/>
    <w:rsid w:val="00B95D4E"/>
    <w:rsid w:val="00B96D70"/>
    <w:rsid w:val="00B97AF5"/>
    <w:rsid w:val="00BA654B"/>
    <w:rsid w:val="00BB2F6A"/>
    <w:rsid w:val="00BB369D"/>
    <w:rsid w:val="00BB398D"/>
    <w:rsid w:val="00BC10D9"/>
    <w:rsid w:val="00BC2890"/>
    <w:rsid w:val="00BC5891"/>
    <w:rsid w:val="00BD1060"/>
    <w:rsid w:val="00BD16A5"/>
    <w:rsid w:val="00BE39C5"/>
    <w:rsid w:val="00BE78C7"/>
    <w:rsid w:val="00BF1A40"/>
    <w:rsid w:val="00C00807"/>
    <w:rsid w:val="00C051C7"/>
    <w:rsid w:val="00C10D3B"/>
    <w:rsid w:val="00C112E6"/>
    <w:rsid w:val="00C113A5"/>
    <w:rsid w:val="00C115F7"/>
    <w:rsid w:val="00C1392D"/>
    <w:rsid w:val="00C217EC"/>
    <w:rsid w:val="00C22ED4"/>
    <w:rsid w:val="00C264C1"/>
    <w:rsid w:val="00C35CAD"/>
    <w:rsid w:val="00C4363E"/>
    <w:rsid w:val="00C44292"/>
    <w:rsid w:val="00C45AF4"/>
    <w:rsid w:val="00C54C8D"/>
    <w:rsid w:val="00C54DB6"/>
    <w:rsid w:val="00C54FAF"/>
    <w:rsid w:val="00C6109F"/>
    <w:rsid w:val="00C64CA6"/>
    <w:rsid w:val="00C7199E"/>
    <w:rsid w:val="00C91A73"/>
    <w:rsid w:val="00C9488C"/>
    <w:rsid w:val="00CA3D0E"/>
    <w:rsid w:val="00CB33A6"/>
    <w:rsid w:val="00CC182C"/>
    <w:rsid w:val="00CC3234"/>
    <w:rsid w:val="00CC5E9B"/>
    <w:rsid w:val="00CD64CB"/>
    <w:rsid w:val="00CD6DCF"/>
    <w:rsid w:val="00CF4201"/>
    <w:rsid w:val="00CF4DF2"/>
    <w:rsid w:val="00CF6948"/>
    <w:rsid w:val="00CF7418"/>
    <w:rsid w:val="00CF7595"/>
    <w:rsid w:val="00D009DB"/>
    <w:rsid w:val="00D01783"/>
    <w:rsid w:val="00D02A09"/>
    <w:rsid w:val="00D04605"/>
    <w:rsid w:val="00D07A19"/>
    <w:rsid w:val="00D15967"/>
    <w:rsid w:val="00D165EC"/>
    <w:rsid w:val="00D221FE"/>
    <w:rsid w:val="00D2308F"/>
    <w:rsid w:val="00D2634C"/>
    <w:rsid w:val="00D43A39"/>
    <w:rsid w:val="00D463DF"/>
    <w:rsid w:val="00D54B0D"/>
    <w:rsid w:val="00D56B58"/>
    <w:rsid w:val="00D56D77"/>
    <w:rsid w:val="00D6084A"/>
    <w:rsid w:val="00D60C6E"/>
    <w:rsid w:val="00D65F45"/>
    <w:rsid w:val="00D6743E"/>
    <w:rsid w:val="00D73140"/>
    <w:rsid w:val="00D7526A"/>
    <w:rsid w:val="00D7776B"/>
    <w:rsid w:val="00D845DB"/>
    <w:rsid w:val="00D84DD4"/>
    <w:rsid w:val="00D910C9"/>
    <w:rsid w:val="00D9147B"/>
    <w:rsid w:val="00D91569"/>
    <w:rsid w:val="00D94450"/>
    <w:rsid w:val="00D94D34"/>
    <w:rsid w:val="00D96BFD"/>
    <w:rsid w:val="00DA1EDD"/>
    <w:rsid w:val="00DA467B"/>
    <w:rsid w:val="00DA5C76"/>
    <w:rsid w:val="00DB0954"/>
    <w:rsid w:val="00DB1812"/>
    <w:rsid w:val="00DB427A"/>
    <w:rsid w:val="00DC27DC"/>
    <w:rsid w:val="00DC2FCC"/>
    <w:rsid w:val="00DC3F47"/>
    <w:rsid w:val="00DD09F2"/>
    <w:rsid w:val="00DD1B60"/>
    <w:rsid w:val="00DD438B"/>
    <w:rsid w:val="00DD6970"/>
    <w:rsid w:val="00DD6B86"/>
    <w:rsid w:val="00DD6F76"/>
    <w:rsid w:val="00DD71C1"/>
    <w:rsid w:val="00DE3C9B"/>
    <w:rsid w:val="00DF37A8"/>
    <w:rsid w:val="00DF7BB2"/>
    <w:rsid w:val="00E00E5C"/>
    <w:rsid w:val="00E00FDC"/>
    <w:rsid w:val="00E070A0"/>
    <w:rsid w:val="00E16AEC"/>
    <w:rsid w:val="00E216BE"/>
    <w:rsid w:val="00E222F7"/>
    <w:rsid w:val="00E2298D"/>
    <w:rsid w:val="00E33036"/>
    <w:rsid w:val="00E45621"/>
    <w:rsid w:val="00E47FB5"/>
    <w:rsid w:val="00E50025"/>
    <w:rsid w:val="00E56B0D"/>
    <w:rsid w:val="00E570D2"/>
    <w:rsid w:val="00E60044"/>
    <w:rsid w:val="00E6008F"/>
    <w:rsid w:val="00E67829"/>
    <w:rsid w:val="00E7482C"/>
    <w:rsid w:val="00E76F55"/>
    <w:rsid w:val="00E841EE"/>
    <w:rsid w:val="00E942B1"/>
    <w:rsid w:val="00E959E3"/>
    <w:rsid w:val="00E978C1"/>
    <w:rsid w:val="00EA3688"/>
    <w:rsid w:val="00EA371A"/>
    <w:rsid w:val="00EA42C0"/>
    <w:rsid w:val="00EA5BB0"/>
    <w:rsid w:val="00EB7253"/>
    <w:rsid w:val="00EC309E"/>
    <w:rsid w:val="00EC3C99"/>
    <w:rsid w:val="00ED2387"/>
    <w:rsid w:val="00ED3545"/>
    <w:rsid w:val="00ED3E92"/>
    <w:rsid w:val="00EE3D29"/>
    <w:rsid w:val="00EE3E0C"/>
    <w:rsid w:val="00EE4DBE"/>
    <w:rsid w:val="00EE5A8B"/>
    <w:rsid w:val="00EE7E55"/>
    <w:rsid w:val="00EF06EE"/>
    <w:rsid w:val="00EF1514"/>
    <w:rsid w:val="00EF2E0D"/>
    <w:rsid w:val="00EF5040"/>
    <w:rsid w:val="00F00797"/>
    <w:rsid w:val="00F01A51"/>
    <w:rsid w:val="00F05934"/>
    <w:rsid w:val="00F05F59"/>
    <w:rsid w:val="00F105E9"/>
    <w:rsid w:val="00F11B12"/>
    <w:rsid w:val="00F13618"/>
    <w:rsid w:val="00F14DF0"/>
    <w:rsid w:val="00F1641F"/>
    <w:rsid w:val="00F16E2C"/>
    <w:rsid w:val="00F22069"/>
    <w:rsid w:val="00F26907"/>
    <w:rsid w:val="00F32E9C"/>
    <w:rsid w:val="00F33CC4"/>
    <w:rsid w:val="00F35958"/>
    <w:rsid w:val="00F36461"/>
    <w:rsid w:val="00F366E9"/>
    <w:rsid w:val="00F36D8B"/>
    <w:rsid w:val="00F422B9"/>
    <w:rsid w:val="00F4715F"/>
    <w:rsid w:val="00F471A5"/>
    <w:rsid w:val="00F50855"/>
    <w:rsid w:val="00F53DC7"/>
    <w:rsid w:val="00F63473"/>
    <w:rsid w:val="00F63D09"/>
    <w:rsid w:val="00F71906"/>
    <w:rsid w:val="00F731B7"/>
    <w:rsid w:val="00F7460D"/>
    <w:rsid w:val="00F754BF"/>
    <w:rsid w:val="00F75CE2"/>
    <w:rsid w:val="00F8790D"/>
    <w:rsid w:val="00F93AAA"/>
    <w:rsid w:val="00FA4604"/>
    <w:rsid w:val="00FA75B7"/>
    <w:rsid w:val="00FB056A"/>
    <w:rsid w:val="00FB2389"/>
    <w:rsid w:val="00FD0625"/>
    <w:rsid w:val="00FE326E"/>
    <w:rsid w:val="00FE4A2B"/>
    <w:rsid w:val="00FF0CFD"/>
    <w:rsid w:val="00FF48FF"/>
    <w:rsid w:val="172F6EFA"/>
    <w:rsid w:val="22554D61"/>
    <w:rsid w:val="2DC4005E"/>
    <w:rsid w:val="424709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0" w:semiHidden="0" w:name="toc 1"/>
    <w:lsdException w:qFormat="1" w:uiPriority="0" w:semiHidden="0" w:name="toc 2"/>
    <w:lsdException w:qFormat="1" w:uiPriority="0" w:semiHidden="0" w:name="toc 3"/>
    <w:lsdException w:qFormat="1" w:uiPriority="0" w:semiHidden="0" w:name="toc 4"/>
    <w:lsdException w:qFormat="1" w:uiPriority="0" w:semiHidden="0" w:name="toc 5"/>
    <w:lsdException w:qFormat="1" w:uiPriority="0" w:semiHidden="0" w:name="toc 6"/>
    <w:lsdException w:qFormat="1" w:uiPriority="0" w:semiHidden="0" w:name="toc 7"/>
    <w:lsdException w:qFormat="1" w:uiPriority="0" w:semiHidden="0" w:name="toc 8"/>
    <w:lsdException w:qFormat="1" w:uiPriority="0" w:semiHidden="0"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uiPriority="99"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qFormat="1" w:unhideWhenUsed="0" w:uiPriority="0" w:semiHidden="0"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53"/>
    <w:qFormat/>
    <w:uiPriority w:val="0"/>
    <w:pPr>
      <w:keepNext/>
      <w:numPr>
        <w:ilvl w:val="0"/>
        <w:numId w:val="1"/>
      </w:numPr>
      <w:spacing w:line="360" w:lineRule="auto"/>
      <w:jc w:val="center"/>
      <w:outlineLvl w:val="0"/>
    </w:pPr>
    <w:rPr>
      <w:rFonts w:ascii="黑体" w:hAnsi="Times New Roman" w:eastAsia="黑体"/>
      <w:b/>
      <w:sz w:val="32"/>
      <w:szCs w:val="20"/>
    </w:rPr>
  </w:style>
  <w:style w:type="paragraph" w:styleId="3">
    <w:name w:val="heading 2"/>
    <w:basedOn w:val="1"/>
    <w:next w:val="1"/>
    <w:link w:val="54"/>
    <w:unhideWhenUsed/>
    <w:qFormat/>
    <w:uiPriority w:val="0"/>
    <w:pPr>
      <w:keepNext/>
      <w:keepLines/>
      <w:spacing w:before="260" w:after="260" w:line="416" w:lineRule="auto"/>
      <w:outlineLvl w:val="1"/>
    </w:pPr>
    <w:rPr>
      <w:rFonts w:ascii="Cambria" w:hAnsi="Cambria"/>
      <w:b/>
      <w:bCs/>
      <w:kern w:val="0"/>
      <w:sz w:val="32"/>
      <w:szCs w:val="32"/>
    </w:rPr>
  </w:style>
  <w:style w:type="paragraph" w:styleId="4">
    <w:name w:val="heading 3"/>
    <w:basedOn w:val="1"/>
    <w:next w:val="1"/>
    <w:link w:val="55"/>
    <w:qFormat/>
    <w:uiPriority w:val="0"/>
    <w:pPr>
      <w:keepNext/>
      <w:keepLines/>
      <w:numPr>
        <w:ilvl w:val="2"/>
        <w:numId w:val="2"/>
      </w:numPr>
      <w:spacing w:line="360" w:lineRule="auto"/>
      <w:outlineLvl w:val="2"/>
    </w:pPr>
    <w:rPr>
      <w:rFonts w:ascii="宋体" w:hAnsi="宋体"/>
      <w:sz w:val="24"/>
      <w:szCs w:val="32"/>
    </w:rPr>
  </w:style>
  <w:style w:type="paragraph" w:styleId="5">
    <w:name w:val="heading 4"/>
    <w:basedOn w:val="1"/>
    <w:next w:val="1"/>
    <w:link w:val="56"/>
    <w:qFormat/>
    <w:uiPriority w:val="0"/>
    <w:pPr>
      <w:keepNext/>
      <w:numPr>
        <w:ilvl w:val="0"/>
        <w:numId w:val="3"/>
      </w:numPr>
      <w:spacing w:line="360" w:lineRule="auto"/>
      <w:ind w:left="0" w:firstLine="0"/>
      <w:outlineLvl w:val="3"/>
    </w:pPr>
    <w:rPr>
      <w:rFonts w:ascii="黑体" w:hAnsi="Times New Roman" w:eastAsia="黑体"/>
      <w:b/>
      <w:szCs w:val="24"/>
    </w:rPr>
  </w:style>
  <w:style w:type="paragraph" w:styleId="6">
    <w:name w:val="heading 5"/>
    <w:basedOn w:val="1"/>
    <w:next w:val="1"/>
    <w:link w:val="57"/>
    <w:qFormat/>
    <w:uiPriority w:val="0"/>
    <w:pPr>
      <w:keepNext/>
      <w:keepLines/>
      <w:widowControl/>
      <w:tabs>
        <w:tab w:val="left" w:pos="1008"/>
      </w:tabs>
      <w:spacing w:before="280" w:after="290" w:line="376" w:lineRule="auto"/>
      <w:ind w:left="1008" w:hanging="1008"/>
      <w:jc w:val="left"/>
      <w:outlineLvl w:val="4"/>
    </w:pPr>
    <w:rPr>
      <w:rFonts w:ascii="Times New Roman" w:hAnsi="Times New Roman"/>
      <w:b/>
      <w:bCs/>
      <w:kern w:val="0"/>
      <w:sz w:val="28"/>
      <w:szCs w:val="28"/>
    </w:rPr>
  </w:style>
  <w:style w:type="paragraph" w:styleId="7">
    <w:name w:val="heading 6"/>
    <w:basedOn w:val="1"/>
    <w:next w:val="1"/>
    <w:link w:val="58"/>
    <w:qFormat/>
    <w:uiPriority w:val="0"/>
    <w:pPr>
      <w:keepNext/>
      <w:keepLines/>
      <w:widowControl/>
      <w:tabs>
        <w:tab w:val="left" w:pos="1152"/>
      </w:tabs>
      <w:spacing w:before="240" w:after="64" w:line="320" w:lineRule="auto"/>
      <w:ind w:left="1152" w:hanging="1152"/>
      <w:jc w:val="left"/>
      <w:outlineLvl w:val="5"/>
    </w:pPr>
    <w:rPr>
      <w:rFonts w:ascii="Arial" w:hAnsi="Arial" w:eastAsia="黑体"/>
      <w:b/>
      <w:bCs/>
      <w:kern w:val="0"/>
      <w:sz w:val="24"/>
      <w:szCs w:val="24"/>
    </w:rPr>
  </w:style>
  <w:style w:type="paragraph" w:styleId="8">
    <w:name w:val="heading 7"/>
    <w:basedOn w:val="1"/>
    <w:next w:val="1"/>
    <w:link w:val="59"/>
    <w:qFormat/>
    <w:uiPriority w:val="0"/>
    <w:pPr>
      <w:keepNext/>
      <w:keepLines/>
      <w:widowControl/>
      <w:tabs>
        <w:tab w:val="left" w:pos="1296"/>
      </w:tabs>
      <w:spacing w:before="240" w:after="64" w:line="320" w:lineRule="auto"/>
      <w:ind w:left="1296" w:hanging="1296"/>
      <w:jc w:val="left"/>
      <w:outlineLvl w:val="6"/>
    </w:pPr>
    <w:rPr>
      <w:rFonts w:ascii="Times New Roman" w:hAnsi="Times New Roman"/>
      <w:b/>
      <w:bCs/>
      <w:kern w:val="0"/>
      <w:sz w:val="24"/>
      <w:szCs w:val="24"/>
    </w:rPr>
  </w:style>
  <w:style w:type="paragraph" w:styleId="9">
    <w:name w:val="heading 8"/>
    <w:basedOn w:val="1"/>
    <w:next w:val="1"/>
    <w:link w:val="60"/>
    <w:qFormat/>
    <w:uiPriority w:val="0"/>
    <w:pPr>
      <w:keepNext/>
      <w:keepLines/>
      <w:widowControl/>
      <w:tabs>
        <w:tab w:val="left" w:pos="1440"/>
      </w:tabs>
      <w:spacing w:before="240" w:after="64" w:line="320" w:lineRule="auto"/>
      <w:ind w:left="1440" w:hanging="1440"/>
      <w:jc w:val="left"/>
      <w:outlineLvl w:val="7"/>
    </w:pPr>
    <w:rPr>
      <w:rFonts w:ascii="Arial" w:hAnsi="Arial" w:eastAsia="黑体"/>
      <w:kern w:val="0"/>
      <w:sz w:val="24"/>
      <w:szCs w:val="24"/>
    </w:rPr>
  </w:style>
  <w:style w:type="paragraph" w:styleId="10">
    <w:name w:val="heading 9"/>
    <w:basedOn w:val="1"/>
    <w:next w:val="1"/>
    <w:link w:val="61"/>
    <w:qFormat/>
    <w:uiPriority w:val="0"/>
    <w:pPr>
      <w:keepNext/>
      <w:keepLines/>
      <w:widowControl/>
      <w:tabs>
        <w:tab w:val="left" w:pos="1584"/>
      </w:tabs>
      <w:spacing w:before="240" w:after="64" w:line="320" w:lineRule="auto"/>
      <w:ind w:left="1584" w:hanging="1584"/>
      <w:jc w:val="left"/>
      <w:outlineLvl w:val="8"/>
    </w:pPr>
    <w:rPr>
      <w:rFonts w:ascii="Arial" w:hAnsi="Arial" w:eastAsia="黑体"/>
      <w:kern w:val="0"/>
      <w:sz w:val="20"/>
      <w:szCs w:val="21"/>
    </w:rPr>
  </w:style>
  <w:style w:type="character" w:default="1" w:styleId="45">
    <w:name w:val="Default Paragraph Font"/>
    <w:semiHidden/>
    <w:unhideWhenUsed/>
    <w:qFormat/>
    <w:uiPriority w:val="1"/>
  </w:style>
  <w:style w:type="table" w:default="1" w:styleId="43">
    <w:name w:val="Normal Table"/>
    <w:semiHidden/>
    <w:unhideWhenUsed/>
    <w:qFormat/>
    <w:uiPriority w:val="99"/>
    <w:tblPr>
      <w:tblLayout w:type="fixed"/>
      <w:tblCellMar>
        <w:top w:w="0" w:type="dxa"/>
        <w:left w:w="108" w:type="dxa"/>
        <w:bottom w:w="0" w:type="dxa"/>
        <w:right w:w="108" w:type="dxa"/>
      </w:tblCellMar>
    </w:tblPr>
  </w:style>
  <w:style w:type="paragraph" w:styleId="11">
    <w:name w:val="toc 7"/>
    <w:basedOn w:val="1"/>
    <w:next w:val="1"/>
    <w:unhideWhenUsed/>
    <w:qFormat/>
    <w:uiPriority w:val="0"/>
    <w:pPr>
      <w:ind w:left="2520" w:leftChars="1200"/>
    </w:pPr>
  </w:style>
  <w:style w:type="paragraph" w:styleId="12">
    <w:name w:val="Normal Indent"/>
    <w:basedOn w:val="1"/>
    <w:qFormat/>
    <w:uiPriority w:val="0"/>
    <w:pPr>
      <w:ind w:firstLine="420"/>
    </w:pPr>
    <w:rPr>
      <w:rFonts w:ascii="Times New Roman" w:hAnsi="Times New Roman"/>
      <w:szCs w:val="20"/>
    </w:rPr>
  </w:style>
  <w:style w:type="paragraph" w:styleId="13">
    <w:name w:val="Document Map"/>
    <w:basedOn w:val="1"/>
    <w:link w:val="78"/>
    <w:qFormat/>
    <w:uiPriority w:val="0"/>
    <w:rPr>
      <w:rFonts w:ascii="宋体" w:hAnsi="Times New Roman"/>
      <w:sz w:val="18"/>
      <w:szCs w:val="18"/>
    </w:rPr>
  </w:style>
  <w:style w:type="paragraph" w:styleId="14">
    <w:name w:val="annotation text"/>
    <w:basedOn w:val="1"/>
    <w:link w:val="84"/>
    <w:qFormat/>
    <w:uiPriority w:val="99"/>
    <w:pPr>
      <w:jc w:val="left"/>
    </w:pPr>
    <w:rPr>
      <w:rFonts w:ascii="Times New Roman" w:hAnsi="Times New Roman" w:eastAsiaTheme="minorEastAsia" w:cstheme="minorBidi"/>
      <w:szCs w:val="24"/>
    </w:rPr>
  </w:style>
  <w:style w:type="paragraph" w:styleId="15">
    <w:name w:val="Body Text 3"/>
    <w:basedOn w:val="1"/>
    <w:link w:val="262"/>
    <w:qFormat/>
    <w:uiPriority w:val="0"/>
    <w:pPr>
      <w:spacing w:after="120"/>
    </w:pPr>
    <w:rPr>
      <w:rFonts w:ascii="Times New Roman" w:hAnsi="Times New Roman"/>
      <w:sz w:val="16"/>
      <w:szCs w:val="16"/>
    </w:rPr>
  </w:style>
  <w:style w:type="paragraph" w:styleId="16">
    <w:name w:val="Body Text"/>
    <w:basedOn w:val="1"/>
    <w:link w:val="74"/>
    <w:qFormat/>
    <w:uiPriority w:val="0"/>
    <w:rPr>
      <w:rFonts w:ascii="宋体" w:hAnsi="宋体"/>
      <w:sz w:val="28"/>
      <w:szCs w:val="24"/>
    </w:rPr>
  </w:style>
  <w:style w:type="paragraph" w:styleId="17">
    <w:name w:val="Body Text Indent"/>
    <w:basedOn w:val="1"/>
    <w:link w:val="66"/>
    <w:unhideWhenUsed/>
    <w:qFormat/>
    <w:uiPriority w:val="0"/>
    <w:pPr>
      <w:spacing w:after="120"/>
      <w:ind w:left="420" w:leftChars="200"/>
    </w:pPr>
    <w:rPr>
      <w:kern w:val="0"/>
      <w:sz w:val="20"/>
      <w:szCs w:val="20"/>
    </w:rPr>
  </w:style>
  <w:style w:type="paragraph" w:styleId="18">
    <w:name w:val="Block Text"/>
    <w:basedOn w:val="1"/>
    <w:qFormat/>
    <w:uiPriority w:val="0"/>
    <w:pPr>
      <w:spacing w:line="240" w:lineRule="exact"/>
      <w:ind w:left="-139" w:leftChars="-66" w:right="-120" w:rightChars="-57"/>
      <w:jc w:val="center"/>
    </w:pPr>
    <w:rPr>
      <w:rFonts w:ascii="Times New Roman" w:hAnsi="Times New Roman"/>
      <w:sz w:val="18"/>
      <w:szCs w:val="18"/>
    </w:rPr>
  </w:style>
  <w:style w:type="paragraph" w:styleId="19">
    <w:name w:val="toc 5"/>
    <w:basedOn w:val="1"/>
    <w:next w:val="1"/>
    <w:unhideWhenUsed/>
    <w:qFormat/>
    <w:uiPriority w:val="0"/>
    <w:pPr>
      <w:ind w:left="1680" w:leftChars="800"/>
    </w:pPr>
  </w:style>
  <w:style w:type="paragraph" w:styleId="20">
    <w:name w:val="toc 3"/>
    <w:basedOn w:val="1"/>
    <w:next w:val="1"/>
    <w:unhideWhenUsed/>
    <w:qFormat/>
    <w:uiPriority w:val="0"/>
    <w:pPr>
      <w:ind w:left="420"/>
      <w:jc w:val="left"/>
    </w:pPr>
    <w:rPr>
      <w:i/>
      <w:iCs/>
      <w:sz w:val="20"/>
      <w:szCs w:val="20"/>
    </w:rPr>
  </w:style>
  <w:style w:type="paragraph" w:styleId="21">
    <w:name w:val="Plain Text"/>
    <w:basedOn w:val="1"/>
    <w:link w:val="63"/>
    <w:qFormat/>
    <w:uiPriority w:val="0"/>
    <w:rPr>
      <w:rFonts w:ascii="宋体" w:hAnsi="Courier New"/>
      <w:kern w:val="0"/>
      <w:sz w:val="20"/>
      <w:szCs w:val="21"/>
    </w:rPr>
  </w:style>
  <w:style w:type="paragraph" w:styleId="22">
    <w:name w:val="toc 8"/>
    <w:basedOn w:val="1"/>
    <w:next w:val="1"/>
    <w:unhideWhenUsed/>
    <w:qFormat/>
    <w:uiPriority w:val="0"/>
    <w:pPr>
      <w:ind w:left="2940" w:leftChars="1400"/>
    </w:pPr>
  </w:style>
  <w:style w:type="paragraph" w:styleId="23">
    <w:name w:val="Date"/>
    <w:basedOn w:val="1"/>
    <w:next w:val="1"/>
    <w:link w:val="72"/>
    <w:qFormat/>
    <w:uiPriority w:val="0"/>
    <w:pPr>
      <w:ind w:left="100" w:leftChars="2500" w:firstLine="425"/>
    </w:pPr>
    <w:rPr>
      <w:rFonts w:ascii="黑体" w:hAnsi="Times New Roman" w:eastAsia="黑体"/>
      <w:b/>
      <w:color w:val="000000"/>
      <w:sz w:val="36"/>
      <w:szCs w:val="20"/>
    </w:rPr>
  </w:style>
  <w:style w:type="paragraph" w:styleId="24">
    <w:name w:val="Body Text Indent 2"/>
    <w:basedOn w:val="1"/>
    <w:link w:val="65"/>
    <w:qFormat/>
    <w:uiPriority w:val="0"/>
    <w:pPr>
      <w:spacing w:line="360" w:lineRule="auto"/>
      <w:ind w:left="1260"/>
    </w:pPr>
    <w:rPr>
      <w:rFonts w:ascii="宋体" w:hAnsi="Times New Roman"/>
      <w:kern w:val="0"/>
      <w:sz w:val="20"/>
      <w:szCs w:val="20"/>
    </w:rPr>
  </w:style>
  <w:style w:type="paragraph" w:styleId="25">
    <w:name w:val="Balloon Text"/>
    <w:basedOn w:val="1"/>
    <w:link w:val="68"/>
    <w:unhideWhenUsed/>
    <w:qFormat/>
    <w:uiPriority w:val="0"/>
    <w:rPr>
      <w:sz w:val="18"/>
      <w:szCs w:val="18"/>
    </w:rPr>
  </w:style>
  <w:style w:type="paragraph" w:styleId="26">
    <w:name w:val="footer"/>
    <w:basedOn w:val="1"/>
    <w:link w:val="70"/>
    <w:qFormat/>
    <w:uiPriority w:val="0"/>
    <w:pPr>
      <w:tabs>
        <w:tab w:val="center" w:pos="4153"/>
        <w:tab w:val="right" w:pos="8306"/>
      </w:tabs>
      <w:snapToGrid w:val="0"/>
      <w:jc w:val="left"/>
    </w:pPr>
    <w:rPr>
      <w:rFonts w:ascii="Times New Roman" w:hAnsi="Times New Roman"/>
      <w:kern w:val="0"/>
      <w:sz w:val="18"/>
      <w:szCs w:val="20"/>
    </w:rPr>
  </w:style>
  <w:style w:type="paragraph" w:styleId="27">
    <w:name w:val="header"/>
    <w:basedOn w:val="1"/>
    <w:link w:val="71"/>
    <w:qFormat/>
    <w:uiPriority w:val="0"/>
    <w:pPr>
      <w:pBdr>
        <w:bottom w:val="single" w:color="auto" w:sz="6" w:space="1"/>
      </w:pBdr>
      <w:tabs>
        <w:tab w:val="center" w:pos="4153"/>
        <w:tab w:val="right" w:pos="8306"/>
      </w:tabs>
      <w:snapToGrid w:val="0"/>
      <w:ind w:firstLine="425"/>
      <w:jc w:val="center"/>
    </w:pPr>
    <w:rPr>
      <w:rFonts w:ascii="Times New Roman" w:hAnsi="Times New Roman"/>
      <w:kern w:val="0"/>
      <w:sz w:val="18"/>
      <w:szCs w:val="20"/>
    </w:rPr>
  </w:style>
  <w:style w:type="paragraph" w:styleId="28">
    <w:name w:val="toc 1"/>
    <w:basedOn w:val="1"/>
    <w:next w:val="1"/>
    <w:unhideWhenUsed/>
    <w:qFormat/>
    <w:uiPriority w:val="0"/>
    <w:pPr>
      <w:spacing w:before="120" w:after="120"/>
      <w:jc w:val="left"/>
    </w:pPr>
    <w:rPr>
      <w:b/>
      <w:bCs/>
      <w:caps/>
      <w:sz w:val="28"/>
      <w:szCs w:val="20"/>
    </w:rPr>
  </w:style>
  <w:style w:type="paragraph" w:styleId="29">
    <w:name w:val="toc 4"/>
    <w:basedOn w:val="1"/>
    <w:next w:val="1"/>
    <w:unhideWhenUsed/>
    <w:qFormat/>
    <w:uiPriority w:val="0"/>
    <w:pPr>
      <w:ind w:left="1260" w:leftChars="600"/>
    </w:pPr>
  </w:style>
  <w:style w:type="paragraph" w:styleId="30">
    <w:name w:val="index heading"/>
    <w:basedOn w:val="1"/>
    <w:next w:val="31"/>
    <w:qFormat/>
    <w:uiPriority w:val="0"/>
    <w:rPr>
      <w:rFonts w:ascii="Times New Roman" w:hAnsi="Times New Roman"/>
      <w:szCs w:val="24"/>
    </w:rPr>
  </w:style>
  <w:style w:type="paragraph" w:styleId="31">
    <w:name w:val="index 1"/>
    <w:basedOn w:val="1"/>
    <w:next w:val="1"/>
    <w:unhideWhenUsed/>
    <w:qFormat/>
    <w:uiPriority w:val="0"/>
  </w:style>
  <w:style w:type="paragraph" w:styleId="32">
    <w:name w:val="List"/>
    <w:basedOn w:val="1"/>
    <w:qFormat/>
    <w:uiPriority w:val="0"/>
    <w:pPr>
      <w:widowControl/>
      <w:overflowPunct w:val="0"/>
      <w:autoSpaceDE w:val="0"/>
      <w:autoSpaceDN w:val="0"/>
      <w:adjustRightInd w:val="0"/>
      <w:ind w:left="283" w:hanging="283"/>
      <w:jc w:val="left"/>
      <w:textAlignment w:val="baseline"/>
    </w:pPr>
    <w:rPr>
      <w:rFonts w:ascii="Times New Roman" w:hAnsi="Times New Roman"/>
      <w:kern w:val="0"/>
      <w:sz w:val="20"/>
      <w:szCs w:val="20"/>
    </w:rPr>
  </w:style>
  <w:style w:type="paragraph" w:styleId="33">
    <w:name w:val="toc 6"/>
    <w:basedOn w:val="1"/>
    <w:next w:val="1"/>
    <w:unhideWhenUsed/>
    <w:qFormat/>
    <w:uiPriority w:val="0"/>
    <w:pPr>
      <w:ind w:left="1050"/>
      <w:jc w:val="left"/>
    </w:pPr>
    <w:rPr>
      <w:sz w:val="18"/>
      <w:szCs w:val="18"/>
    </w:rPr>
  </w:style>
  <w:style w:type="paragraph" w:styleId="34">
    <w:name w:val="Body Text Indent 3"/>
    <w:basedOn w:val="1"/>
    <w:link w:val="67"/>
    <w:unhideWhenUsed/>
    <w:qFormat/>
    <w:uiPriority w:val="0"/>
    <w:pPr>
      <w:spacing w:after="120"/>
      <w:ind w:left="420" w:leftChars="200"/>
    </w:pPr>
    <w:rPr>
      <w:kern w:val="0"/>
      <w:sz w:val="16"/>
      <w:szCs w:val="16"/>
    </w:rPr>
  </w:style>
  <w:style w:type="paragraph" w:styleId="35">
    <w:name w:val="table of figures"/>
    <w:basedOn w:val="1"/>
    <w:next w:val="1"/>
    <w:qFormat/>
    <w:uiPriority w:val="0"/>
    <w:pPr>
      <w:ind w:left="420" w:hanging="420"/>
      <w:jc w:val="left"/>
    </w:pPr>
    <w:rPr>
      <w:rFonts w:ascii="Times New Roman" w:hAnsi="Times New Roman"/>
      <w:smallCaps/>
      <w:sz w:val="20"/>
      <w:szCs w:val="20"/>
    </w:rPr>
  </w:style>
  <w:style w:type="paragraph" w:styleId="36">
    <w:name w:val="toc 2"/>
    <w:basedOn w:val="1"/>
    <w:next w:val="1"/>
    <w:unhideWhenUsed/>
    <w:qFormat/>
    <w:uiPriority w:val="0"/>
    <w:pPr>
      <w:tabs>
        <w:tab w:val="right" w:leader="dot" w:pos="8398"/>
      </w:tabs>
      <w:spacing w:line="360" w:lineRule="auto"/>
      <w:ind w:left="210"/>
      <w:jc w:val="center"/>
    </w:pPr>
    <w:rPr>
      <w:rFonts w:ascii="宋体" w:hAnsi="宋体"/>
      <w:b/>
      <w:bCs/>
      <w:smallCaps/>
      <w:szCs w:val="21"/>
    </w:rPr>
  </w:style>
  <w:style w:type="paragraph" w:styleId="37">
    <w:name w:val="toc 9"/>
    <w:basedOn w:val="1"/>
    <w:next w:val="1"/>
    <w:unhideWhenUsed/>
    <w:qFormat/>
    <w:uiPriority w:val="0"/>
    <w:pPr>
      <w:ind w:left="3360" w:leftChars="1600"/>
    </w:pPr>
  </w:style>
  <w:style w:type="paragraph" w:styleId="38">
    <w:name w:val="Body Text 2"/>
    <w:basedOn w:val="1"/>
    <w:link w:val="76"/>
    <w:qFormat/>
    <w:uiPriority w:val="0"/>
    <w:pPr>
      <w:widowControl/>
      <w:snapToGrid w:val="0"/>
      <w:spacing w:line="360" w:lineRule="auto"/>
      <w:jc w:val="left"/>
    </w:pPr>
    <w:rPr>
      <w:rFonts w:ascii="宋体" w:hAnsi="宋体"/>
      <w:kern w:val="0"/>
      <w:sz w:val="24"/>
      <w:szCs w:val="18"/>
    </w:rPr>
  </w:style>
  <w:style w:type="paragraph" w:styleId="39">
    <w:name w:val="HTML Preformatted"/>
    <w:basedOn w:val="1"/>
    <w:link w:val="9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olor w:val="000000"/>
      <w:kern w:val="0"/>
      <w:sz w:val="24"/>
      <w:szCs w:val="24"/>
    </w:rPr>
  </w:style>
  <w:style w:type="paragraph" w:styleId="40">
    <w:name w:val="Normal (Web)"/>
    <w:basedOn w:val="1"/>
    <w:qFormat/>
    <w:uiPriority w:val="0"/>
    <w:pPr>
      <w:widowControl/>
      <w:spacing w:before="100" w:beforeAutospacing="1" w:after="100" w:afterAutospacing="1" w:line="440" w:lineRule="atLeast"/>
      <w:jc w:val="left"/>
    </w:pPr>
    <w:rPr>
      <w:rFonts w:ascii="宋体" w:hAnsi="宋体"/>
      <w:color w:val="000000"/>
      <w:kern w:val="0"/>
      <w:sz w:val="30"/>
      <w:szCs w:val="30"/>
    </w:rPr>
  </w:style>
  <w:style w:type="paragraph" w:styleId="41">
    <w:name w:val="annotation subject"/>
    <w:basedOn w:val="14"/>
    <w:next w:val="14"/>
    <w:link w:val="90"/>
    <w:unhideWhenUsed/>
    <w:qFormat/>
    <w:uiPriority w:val="0"/>
    <w:rPr>
      <w:b/>
      <w:bCs/>
      <w:szCs w:val="22"/>
    </w:rPr>
  </w:style>
  <w:style w:type="paragraph" w:styleId="42">
    <w:name w:val="Body Text First Indent"/>
    <w:basedOn w:val="16"/>
    <w:link w:val="95"/>
    <w:qFormat/>
    <w:uiPriority w:val="0"/>
    <w:pPr>
      <w:spacing w:after="120"/>
      <w:ind w:firstLine="420" w:firstLineChars="100"/>
    </w:pPr>
    <w:rPr>
      <w:rFonts w:ascii="Times New Roman" w:hAnsi="Times New Roman"/>
      <w:sz w:val="21"/>
    </w:rPr>
  </w:style>
  <w:style w:type="table" w:styleId="44">
    <w:name w:val="Table Grid"/>
    <w:basedOn w:val="43"/>
    <w:qFormat/>
    <w:uiPriority w:val="59"/>
    <w:rPr>
      <w:rFonts w:ascii="Calibri" w:hAnsi="Calibri" w:eastAsia="宋体"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character" w:styleId="46">
    <w:name w:val="Strong"/>
    <w:qFormat/>
    <w:uiPriority w:val="0"/>
    <w:rPr>
      <w:b/>
      <w:bCs/>
    </w:rPr>
  </w:style>
  <w:style w:type="character" w:styleId="47">
    <w:name w:val="page number"/>
    <w:basedOn w:val="45"/>
    <w:qFormat/>
    <w:uiPriority w:val="0"/>
  </w:style>
  <w:style w:type="character" w:styleId="48">
    <w:name w:val="FollowedHyperlink"/>
    <w:basedOn w:val="45"/>
    <w:qFormat/>
    <w:uiPriority w:val="0"/>
    <w:rPr>
      <w:color w:val="800080"/>
      <w:u w:val="single"/>
    </w:rPr>
  </w:style>
  <w:style w:type="character" w:styleId="49">
    <w:name w:val="Emphasis"/>
    <w:qFormat/>
    <w:uiPriority w:val="0"/>
    <w:rPr>
      <w:i/>
      <w:iCs/>
    </w:rPr>
  </w:style>
  <w:style w:type="character" w:styleId="50">
    <w:name w:val="HTML Typewriter"/>
    <w:basedOn w:val="45"/>
    <w:qFormat/>
    <w:uiPriority w:val="0"/>
    <w:rPr>
      <w:rFonts w:ascii="宋体" w:hAnsi="宋体" w:eastAsia="宋体" w:cs="宋体"/>
      <w:sz w:val="24"/>
      <w:szCs w:val="24"/>
    </w:rPr>
  </w:style>
  <w:style w:type="character" w:styleId="51">
    <w:name w:val="Hyperlink"/>
    <w:qFormat/>
    <w:uiPriority w:val="99"/>
    <w:rPr>
      <w:color w:val="0000FF"/>
      <w:u w:val="single"/>
    </w:rPr>
  </w:style>
  <w:style w:type="character" w:styleId="52">
    <w:name w:val="annotation reference"/>
    <w:unhideWhenUsed/>
    <w:qFormat/>
    <w:uiPriority w:val="99"/>
    <w:rPr>
      <w:sz w:val="21"/>
      <w:szCs w:val="21"/>
    </w:rPr>
  </w:style>
  <w:style w:type="character" w:customStyle="1" w:styleId="53">
    <w:name w:val="标题 1 字符"/>
    <w:basedOn w:val="45"/>
    <w:link w:val="2"/>
    <w:qFormat/>
    <w:uiPriority w:val="0"/>
    <w:rPr>
      <w:rFonts w:ascii="黑体" w:hAnsi="Times New Roman" w:eastAsia="黑体" w:cs="Times New Roman"/>
      <w:b/>
      <w:sz w:val="32"/>
      <w:szCs w:val="20"/>
    </w:rPr>
  </w:style>
  <w:style w:type="character" w:customStyle="1" w:styleId="54">
    <w:name w:val="标题 2 字符"/>
    <w:basedOn w:val="45"/>
    <w:link w:val="3"/>
    <w:uiPriority w:val="0"/>
    <w:rPr>
      <w:rFonts w:ascii="Cambria" w:hAnsi="Cambria" w:eastAsia="宋体" w:cs="Times New Roman"/>
      <w:b/>
      <w:bCs/>
      <w:kern w:val="0"/>
      <w:sz w:val="32"/>
      <w:szCs w:val="32"/>
    </w:rPr>
  </w:style>
  <w:style w:type="character" w:customStyle="1" w:styleId="55">
    <w:name w:val="标题 3 字符"/>
    <w:basedOn w:val="45"/>
    <w:link w:val="4"/>
    <w:uiPriority w:val="0"/>
    <w:rPr>
      <w:rFonts w:ascii="宋体" w:hAnsi="宋体" w:eastAsia="宋体" w:cs="Times New Roman"/>
      <w:sz w:val="24"/>
      <w:szCs w:val="32"/>
    </w:rPr>
  </w:style>
  <w:style w:type="character" w:customStyle="1" w:styleId="56">
    <w:name w:val="标题 4 字符"/>
    <w:basedOn w:val="45"/>
    <w:link w:val="5"/>
    <w:uiPriority w:val="0"/>
    <w:rPr>
      <w:rFonts w:ascii="黑体" w:hAnsi="Times New Roman" w:eastAsia="黑体" w:cs="Times New Roman"/>
      <w:b/>
      <w:szCs w:val="24"/>
    </w:rPr>
  </w:style>
  <w:style w:type="character" w:customStyle="1" w:styleId="57">
    <w:name w:val="标题 5 字符"/>
    <w:basedOn w:val="45"/>
    <w:link w:val="6"/>
    <w:uiPriority w:val="0"/>
    <w:rPr>
      <w:rFonts w:ascii="Times New Roman" w:hAnsi="Times New Roman" w:eastAsia="宋体" w:cs="Times New Roman"/>
      <w:b/>
      <w:bCs/>
      <w:kern w:val="0"/>
      <w:sz w:val="28"/>
      <w:szCs w:val="28"/>
    </w:rPr>
  </w:style>
  <w:style w:type="character" w:customStyle="1" w:styleId="58">
    <w:name w:val="标题 6 字符"/>
    <w:basedOn w:val="45"/>
    <w:link w:val="7"/>
    <w:uiPriority w:val="0"/>
    <w:rPr>
      <w:rFonts w:ascii="Arial" w:hAnsi="Arial" w:eastAsia="黑体" w:cs="Times New Roman"/>
      <w:b/>
      <w:bCs/>
      <w:kern w:val="0"/>
      <w:sz w:val="24"/>
      <w:szCs w:val="24"/>
    </w:rPr>
  </w:style>
  <w:style w:type="character" w:customStyle="1" w:styleId="59">
    <w:name w:val="标题 7 字符"/>
    <w:basedOn w:val="45"/>
    <w:link w:val="8"/>
    <w:uiPriority w:val="0"/>
    <w:rPr>
      <w:rFonts w:ascii="Times New Roman" w:hAnsi="Times New Roman" w:eastAsia="宋体" w:cs="Times New Roman"/>
      <w:b/>
      <w:bCs/>
      <w:kern w:val="0"/>
      <w:sz w:val="24"/>
      <w:szCs w:val="24"/>
    </w:rPr>
  </w:style>
  <w:style w:type="character" w:customStyle="1" w:styleId="60">
    <w:name w:val="标题 8 字符"/>
    <w:basedOn w:val="45"/>
    <w:link w:val="9"/>
    <w:qFormat/>
    <w:uiPriority w:val="0"/>
    <w:rPr>
      <w:rFonts w:ascii="Arial" w:hAnsi="Arial" w:eastAsia="黑体" w:cs="Times New Roman"/>
      <w:kern w:val="0"/>
      <w:sz w:val="24"/>
      <w:szCs w:val="24"/>
    </w:rPr>
  </w:style>
  <w:style w:type="character" w:customStyle="1" w:styleId="61">
    <w:name w:val="标题 9 字符"/>
    <w:basedOn w:val="45"/>
    <w:link w:val="10"/>
    <w:qFormat/>
    <w:uiPriority w:val="0"/>
    <w:rPr>
      <w:rFonts w:ascii="Arial" w:hAnsi="Arial" w:eastAsia="黑体" w:cs="Times New Roman"/>
      <w:kern w:val="0"/>
      <w:sz w:val="20"/>
      <w:szCs w:val="21"/>
    </w:rPr>
  </w:style>
  <w:style w:type="character" w:customStyle="1" w:styleId="62">
    <w:name w:val="纯文本 Char"/>
    <w:basedOn w:val="45"/>
    <w:qFormat/>
    <w:uiPriority w:val="0"/>
    <w:rPr>
      <w:rFonts w:ascii="宋体" w:hAnsi="Courier New" w:eastAsia="宋体" w:cs="Courier New"/>
      <w:szCs w:val="21"/>
    </w:rPr>
  </w:style>
  <w:style w:type="character" w:customStyle="1" w:styleId="63">
    <w:name w:val="纯文本 字符"/>
    <w:link w:val="21"/>
    <w:qFormat/>
    <w:uiPriority w:val="0"/>
    <w:rPr>
      <w:rFonts w:ascii="宋体" w:hAnsi="Courier New" w:eastAsia="宋体" w:cs="Times New Roman"/>
      <w:kern w:val="0"/>
      <w:sz w:val="20"/>
      <w:szCs w:val="21"/>
    </w:rPr>
  </w:style>
  <w:style w:type="paragraph" w:styleId="64">
    <w:name w:val="List Paragraph"/>
    <w:basedOn w:val="1"/>
    <w:qFormat/>
    <w:uiPriority w:val="0"/>
    <w:pPr>
      <w:ind w:firstLine="420" w:firstLineChars="200"/>
    </w:pPr>
  </w:style>
  <w:style w:type="character" w:customStyle="1" w:styleId="65">
    <w:name w:val="正文文本缩进 2 字符"/>
    <w:basedOn w:val="45"/>
    <w:link w:val="24"/>
    <w:uiPriority w:val="0"/>
    <w:rPr>
      <w:rFonts w:ascii="宋体" w:hAnsi="Times New Roman" w:eastAsia="宋体" w:cs="Times New Roman"/>
      <w:kern w:val="0"/>
      <w:sz w:val="20"/>
      <w:szCs w:val="20"/>
    </w:rPr>
  </w:style>
  <w:style w:type="character" w:customStyle="1" w:styleId="66">
    <w:name w:val="正文文本缩进 字符"/>
    <w:basedOn w:val="45"/>
    <w:link w:val="17"/>
    <w:qFormat/>
    <w:uiPriority w:val="0"/>
    <w:rPr>
      <w:rFonts w:ascii="Calibri" w:hAnsi="Calibri" w:eastAsia="宋体" w:cs="Times New Roman"/>
      <w:kern w:val="0"/>
      <w:sz w:val="20"/>
      <w:szCs w:val="20"/>
    </w:rPr>
  </w:style>
  <w:style w:type="character" w:customStyle="1" w:styleId="67">
    <w:name w:val="正文文本缩进 3 字符"/>
    <w:basedOn w:val="45"/>
    <w:link w:val="34"/>
    <w:qFormat/>
    <w:uiPriority w:val="0"/>
    <w:rPr>
      <w:rFonts w:ascii="Calibri" w:hAnsi="Calibri" w:eastAsia="宋体" w:cs="Times New Roman"/>
      <w:kern w:val="0"/>
      <w:sz w:val="16"/>
      <w:szCs w:val="16"/>
    </w:rPr>
  </w:style>
  <w:style w:type="character" w:customStyle="1" w:styleId="68">
    <w:name w:val="批注框文本 字符"/>
    <w:link w:val="25"/>
    <w:qFormat/>
    <w:uiPriority w:val="0"/>
    <w:rPr>
      <w:rFonts w:ascii="Calibri" w:hAnsi="Calibri" w:eastAsia="宋体" w:cs="Times New Roman"/>
      <w:sz w:val="18"/>
      <w:szCs w:val="18"/>
    </w:rPr>
  </w:style>
  <w:style w:type="character" w:customStyle="1" w:styleId="69">
    <w:name w:val="批注框文本 Char1"/>
    <w:basedOn w:val="45"/>
    <w:semiHidden/>
    <w:qFormat/>
    <w:uiPriority w:val="99"/>
    <w:rPr>
      <w:rFonts w:ascii="Calibri" w:hAnsi="Calibri" w:eastAsia="宋体" w:cs="Times New Roman"/>
      <w:sz w:val="18"/>
      <w:szCs w:val="18"/>
    </w:rPr>
  </w:style>
  <w:style w:type="character" w:customStyle="1" w:styleId="70">
    <w:name w:val="页脚 字符"/>
    <w:basedOn w:val="45"/>
    <w:link w:val="26"/>
    <w:qFormat/>
    <w:uiPriority w:val="0"/>
    <w:rPr>
      <w:rFonts w:ascii="Times New Roman" w:hAnsi="Times New Roman" w:eastAsia="宋体" w:cs="Times New Roman"/>
      <w:kern w:val="0"/>
      <w:sz w:val="18"/>
      <w:szCs w:val="20"/>
    </w:rPr>
  </w:style>
  <w:style w:type="character" w:customStyle="1" w:styleId="71">
    <w:name w:val="页眉 字符"/>
    <w:basedOn w:val="45"/>
    <w:link w:val="27"/>
    <w:qFormat/>
    <w:uiPriority w:val="0"/>
    <w:rPr>
      <w:rFonts w:ascii="Times New Roman" w:hAnsi="Times New Roman" w:eastAsia="宋体" w:cs="Times New Roman"/>
      <w:kern w:val="0"/>
      <w:sz w:val="18"/>
      <w:szCs w:val="20"/>
    </w:rPr>
  </w:style>
  <w:style w:type="character" w:customStyle="1" w:styleId="72">
    <w:name w:val="日期 字符"/>
    <w:link w:val="23"/>
    <w:qFormat/>
    <w:uiPriority w:val="0"/>
    <w:rPr>
      <w:rFonts w:ascii="黑体" w:hAnsi="Times New Roman" w:eastAsia="黑体" w:cs="Times New Roman"/>
      <w:b/>
      <w:color w:val="000000"/>
      <w:sz w:val="36"/>
      <w:szCs w:val="20"/>
    </w:rPr>
  </w:style>
  <w:style w:type="character" w:customStyle="1" w:styleId="73">
    <w:name w:val="日期 Char1"/>
    <w:basedOn w:val="45"/>
    <w:semiHidden/>
    <w:qFormat/>
    <w:uiPriority w:val="99"/>
    <w:rPr>
      <w:rFonts w:ascii="Calibri" w:hAnsi="Calibri" w:eastAsia="宋体" w:cs="Times New Roman"/>
    </w:rPr>
  </w:style>
  <w:style w:type="character" w:customStyle="1" w:styleId="74">
    <w:name w:val="正文文本 字符"/>
    <w:link w:val="16"/>
    <w:qFormat/>
    <w:uiPriority w:val="0"/>
    <w:rPr>
      <w:rFonts w:ascii="宋体" w:hAnsi="宋体" w:eastAsia="宋体" w:cs="Times New Roman"/>
      <w:sz w:val="28"/>
      <w:szCs w:val="24"/>
    </w:rPr>
  </w:style>
  <w:style w:type="character" w:customStyle="1" w:styleId="75">
    <w:name w:val="正文文本 Char1"/>
    <w:basedOn w:val="45"/>
    <w:semiHidden/>
    <w:qFormat/>
    <w:uiPriority w:val="99"/>
    <w:rPr>
      <w:rFonts w:ascii="Calibri" w:hAnsi="Calibri" w:eastAsia="宋体" w:cs="Times New Roman"/>
    </w:rPr>
  </w:style>
  <w:style w:type="character" w:customStyle="1" w:styleId="76">
    <w:name w:val="正文文本 2 字符"/>
    <w:link w:val="38"/>
    <w:qFormat/>
    <w:uiPriority w:val="0"/>
    <w:rPr>
      <w:rFonts w:ascii="宋体" w:hAnsi="宋体" w:eastAsia="宋体" w:cs="Times New Roman"/>
      <w:kern w:val="0"/>
      <w:sz w:val="24"/>
      <w:szCs w:val="18"/>
    </w:rPr>
  </w:style>
  <w:style w:type="character" w:customStyle="1" w:styleId="77">
    <w:name w:val="正文文本 2 Char1"/>
    <w:basedOn w:val="45"/>
    <w:semiHidden/>
    <w:qFormat/>
    <w:uiPriority w:val="99"/>
    <w:rPr>
      <w:rFonts w:ascii="Calibri" w:hAnsi="Calibri" w:eastAsia="宋体" w:cs="Times New Roman"/>
    </w:rPr>
  </w:style>
  <w:style w:type="character" w:customStyle="1" w:styleId="78">
    <w:name w:val="文档结构图 字符"/>
    <w:link w:val="13"/>
    <w:qFormat/>
    <w:uiPriority w:val="0"/>
    <w:rPr>
      <w:rFonts w:ascii="宋体" w:hAnsi="Times New Roman" w:eastAsia="宋体" w:cs="Times New Roman"/>
      <w:sz w:val="18"/>
      <w:szCs w:val="18"/>
    </w:rPr>
  </w:style>
  <w:style w:type="character" w:customStyle="1" w:styleId="79">
    <w:name w:val="文档结构图 Char1"/>
    <w:basedOn w:val="45"/>
    <w:semiHidden/>
    <w:qFormat/>
    <w:uiPriority w:val="99"/>
    <w:rPr>
      <w:rFonts w:ascii="宋体" w:hAnsi="Calibri" w:eastAsia="宋体" w:cs="Times New Roman"/>
      <w:sz w:val="18"/>
      <w:szCs w:val="18"/>
    </w:rPr>
  </w:style>
  <w:style w:type="character" w:customStyle="1" w:styleId="80">
    <w:name w:val="不明显强调1"/>
    <w:qFormat/>
    <w:uiPriority w:val="19"/>
    <w:rPr>
      <w:i/>
      <w:iCs/>
      <w:color w:val="808080"/>
    </w:rPr>
  </w:style>
  <w:style w:type="character" w:customStyle="1" w:styleId="81">
    <w:name w:val="明显强调1"/>
    <w:qFormat/>
    <w:uiPriority w:val="21"/>
    <w:rPr>
      <w:b/>
      <w:bCs/>
      <w:i/>
      <w:iCs/>
      <w:color w:val="4F81BD"/>
    </w:rPr>
  </w:style>
  <w:style w:type="paragraph" w:customStyle="1" w:styleId="82">
    <w:name w:val="修订1"/>
    <w:hidden/>
    <w:semiHidden/>
    <w:qFormat/>
    <w:uiPriority w:val="99"/>
    <w:rPr>
      <w:rFonts w:ascii="Calibri" w:hAnsi="Calibri" w:eastAsia="宋体" w:cs="Times New Roman"/>
      <w:kern w:val="2"/>
      <w:sz w:val="21"/>
      <w:szCs w:val="22"/>
      <w:lang w:val="en-US" w:eastAsia="zh-CN" w:bidi="ar-SA"/>
    </w:rPr>
  </w:style>
  <w:style w:type="paragraph" w:customStyle="1" w:styleId="83">
    <w:name w:val="Char"/>
    <w:basedOn w:val="1"/>
    <w:qFormat/>
    <w:uiPriority w:val="0"/>
    <w:pPr>
      <w:widowControl/>
      <w:spacing w:after="160" w:line="240" w:lineRule="exact"/>
      <w:jc w:val="left"/>
    </w:pPr>
    <w:rPr>
      <w:rFonts w:ascii="Verdana" w:hAnsi="Verdana" w:eastAsia="仿宋_GB2312"/>
      <w:spacing w:val="-4"/>
      <w:kern w:val="0"/>
      <w:sz w:val="24"/>
      <w:szCs w:val="20"/>
      <w:lang w:eastAsia="en-US"/>
    </w:rPr>
  </w:style>
  <w:style w:type="character" w:customStyle="1" w:styleId="84">
    <w:name w:val="批注文字 字符"/>
    <w:link w:val="14"/>
    <w:qFormat/>
    <w:uiPriority w:val="99"/>
    <w:rPr>
      <w:rFonts w:ascii="Times New Roman" w:hAnsi="Times New Roman"/>
      <w:szCs w:val="24"/>
    </w:rPr>
  </w:style>
  <w:style w:type="character" w:customStyle="1" w:styleId="85">
    <w:name w:val="批注文字 Char1"/>
    <w:basedOn w:val="45"/>
    <w:semiHidden/>
    <w:qFormat/>
    <w:uiPriority w:val="99"/>
    <w:rPr>
      <w:rFonts w:ascii="Calibri" w:hAnsi="Calibri" w:eastAsia="宋体" w:cs="Times New Roman"/>
    </w:rPr>
  </w:style>
  <w:style w:type="character" w:customStyle="1" w:styleId="86">
    <w:name w:val="正文文本缩进 Char1"/>
    <w:semiHidden/>
    <w:qFormat/>
    <w:uiPriority w:val="99"/>
    <w:rPr>
      <w:rFonts w:ascii="Times New Roman" w:hAnsi="Times New Roman" w:eastAsia="宋体" w:cs="Times New Roman"/>
      <w:szCs w:val="24"/>
    </w:rPr>
  </w:style>
  <w:style w:type="character" w:customStyle="1" w:styleId="87">
    <w:name w:val="正文文本缩进 3 Char1"/>
    <w:semiHidden/>
    <w:qFormat/>
    <w:uiPriority w:val="99"/>
    <w:rPr>
      <w:rFonts w:ascii="Times New Roman" w:hAnsi="Times New Roman" w:eastAsia="宋体" w:cs="Times New Roman"/>
      <w:sz w:val="16"/>
      <w:szCs w:val="16"/>
    </w:rPr>
  </w:style>
  <w:style w:type="paragraph" w:styleId="88">
    <w:name w:val="No Spacing"/>
    <w:link w:val="89"/>
    <w:qFormat/>
    <w:uiPriority w:val="1"/>
    <w:rPr>
      <w:rFonts w:ascii="Calibri" w:hAnsi="Calibri" w:eastAsia="宋体" w:cs="Times New Roman"/>
      <w:sz w:val="22"/>
      <w:szCs w:val="22"/>
      <w:lang w:val="en-US" w:eastAsia="zh-CN" w:bidi="ar-SA"/>
    </w:rPr>
  </w:style>
  <w:style w:type="character" w:customStyle="1" w:styleId="89">
    <w:name w:val="无间隔 字符"/>
    <w:link w:val="88"/>
    <w:qFormat/>
    <w:uiPriority w:val="1"/>
    <w:rPr>
      <w:rFonts w:ascii="Calibri" w:hAnsi="Calibri" w:eastAsia="宋体" w:cs="Times New Roman"/>
      <w:kern w:val="0"/>
      <w:sz w:val="22"/>
    </w:rPr>
  </w:style>
  <w:style w:type="character" w:customStyle="1" w:styleId="90">
    <w:name w:val="批注主题 字符"/>
    <w:basedOn w:val="85"/>
    <w:link w:val="41"/>
    <w:qFormat/>
    <w:uiPriority w:val="0"/>
    <w:rPr>
      <w:rFonts w:ascii="Times New Roman" w:hAnsi="Times New Roman" w:eastAsia="宋体" w:cs="Times New Roman"/>
      <w:b/>
      <w:bCs/>
    </w:rPr>
  </w:style>
  <w:style w:type="paragraph" w:customStyle="1" w:styleId="91">
    <w:name w:val="列出段落1"/>
    <w:basedOn w:val="1"/>
    <w:qFormat/>
    <w:uiPriority w:val="0"/>
    <w:pPr>
      <w:ind w:firstLine="420" w:firstLineChars="200"/>
    </w:pPr>
  </w:style>
  <w:style w:type="character" w:customStyle="1" w:styleId="92">
    <w:name w:val="图表_地面工程 Char"/>
    <w:link w:val="93"/>
    <w:qFormat/>
    <w:uiPriority w:val="0"/>
    <w:rPr>
      <w:rFonts w:ascii="黑体" w:hAnsi="黑体" w:eastAsia="黑体"/>
    </w:rPr>
  </w:style>
  <w:style w:type="paragraph" w:customStyle="1" w:styleId="93">
    <w:name w:val="图表_地面工程"/>
    <w:basedOn w:val="1"/>
    <w:link w:val="92"/>
    <w:qFormat/>
    <w:uiPriority w:val="0"/>
    <w:pPr>
      <w:spacing w:line="360" w:lineRule="auto"/>
      <w:jc w:val="center"/>
    </w:pPr>
    <w:rPr>
      <w:rFonts w:ascii="黑体" w:hAnsi="黑体" w:eastAsia="黑体" w:cstheme="minorBidi"/>
    </w:rPr>
  </w:style>
  <w:style w:type="paragraph" w:customStyle="1" w:styleId="94">
    <w:name w:val="项_地面工程"/>
    <w:basedOn w:val="1"/>
    <w:qFormat/>
    <w:uiPriority w:val="0"/>
    <w:pPr>
      <w:spacing w:line="360" w:lineRule="auto"/>
      <w:ind w:left="630" w:leftChars="300"/>
    </w:pPr>
    <w:rPr>
      <w:rFonts w:ascii="Times New Roman" w:hAnsi="Times New Roman"/>
      <w:kern w:val="0"/>
      <w:sz w:val="24"/>
      <w:szCs w:val="24"/>
    </w:rPr>
  </w:style>
  <w:style w:type="character" w:customStyle="1" w:styleId="95">
    <w:name w:val="正文文本首行缩进 字符"/>
    <w:basedOn w:val="75"/>
    <w:link w:val="42"/>
    <w:qFormat/>
    <w:uiPriority w:val="0"/>
    <w:rPr>
      <w:rFonts w:ascii="Times New Roman" w:hAnsi="Times New Roman" w:eastAsia="宋体" w:cs="Times New Roman"/>
      <w:szCs w:val="24"/>
    </w:rPr>
  </w:style>
  <w:style w:type="character" w:customStyle="1" w:styleId="96">
    <w:name w:val="HTML 预设格式 字符"/>
    <w:basedOn w:val="45"/>
    <w:link w:val="39"/>
    <w:qFormat/>
    <w:uiPriority w:val="0"/>
    <w:rPr>
      <w:rFonts w:ascii="宋体" w:hAnsi="宋体" w:eastAsia="宋体" w:cs="Times New Roman"/>
      <w:color w:val="000000"/>
      <w:kern w:val="0"/>
      <w:sz w:val="24"/>
      <w:szCs w:val="24"/>
    </w:rPr>
  </w:style>
  <w:style w:type="paragraph" w:customStyle="1" w:styleId="97">
    <w:name w:val="正文1"/>
    <w:basedOn w:val="1"/>
    <w:qFormat/>
    <w:uiPriority w:val="0"/>
    <w:rPr>
      <w:rFonts w:eastAsia="Calibri" w:cs="宋体"/>
      <w:kern w:val="0"/>
      <w:szCs w:val="20"/>
      <w:lang w:eastAsia="en-US"/>
    </w:rPr>
  </w:style>
  <w:style w:type="paragraph" w:customStyle="1" w:styleId="98">
    <w:name w:val="正文文本缩进 21"/>
    <w:basedOn w:val="97"/>
    <w:uiPriority w:val="0"/>
    <w:pPr>
      <w:spacing w:line="360" w:lineRule="auto"/>
      <w:ind w:left="1260"/>
    </w:pPr>
    <w:rPr>
      <w:rFonts w:ascii="宋体" w:hAnsi="宋体" w:eastAsia="宋体"/>
      <w:sz w:val="20"/>
    </w:rPr>
  </w:style>
  <w:style w:type="paragraph" w:customStyle="1" w:styleId="99">
    <w:name w:val="标题-2"/>
    <w:basedOn w:val="3"/>
    <w:link w:val="100"/>
    <w:qFormat/>
    <w:uiPriority w:val="0"/>
    <w:pPr>
      <w:spacing w:before="0" w:after="0" w:line="360" w:lineRule="auto"/>
      <w:jc w:val="left"/>
    </w:pPr>
    <w:rPr>
      <w:rFonts w:ascii="宋体" w:hAnsi="宋体"/>
      <w:kern w:val="2"/>
      <w:sz w:val="30"/>
    </w:rPr>
  </w:style>
  <w:style w:type="character" w:customStyle="1" w:styleId="100">
    <w:name w:val="标题-2 Char"/>
    <w:basedOn w:val="54"/>
    <w:link w:val="99"/>
    <w:qFormat/>
    <w:uiPriority w:val="0"/>
    <w:rPr>
      <w:rFonts w:ascii="宋体" w:hAnsi="宋体" w:eastAsia="宋体" w:cs="Times New Roman"/>
      <w:kern w:val="0"/>
      <w:sz w:val="30"/>
      <w:szCs w:val="32"/>
    </w:rPr>
  </w:style>
  <w:style w:type="paragraph" w:customStyle="1" w:styleId="101">
    <w:name w:val="无间隔1"/>
    <w:qFormat/>
    <w:uiPriority w:val="1"/>
    <w:rPr>
      <w:rFonts w:ascii="Calibri" w:hAnsi="Calibri" w:eastAsia="宋体" w:cs="Times New Roman"/>
      <w:sz w:val="22"/>
      <w:szCs w:val="22"/>
      <w:lang w:val="en-US" w:eastAsia="zh-CN" w:bidi="ar-SA"/>
    </w:rPr>
  </w:style>
  <w:style w:type="paragraph" w:customStyle="1" w:styleId="102">
    <w:name w:val="Char Char Char Char Char Char Char Char Char Char Char Char Char Char Char Char"/>
    <w:basedOn w:val="1"/>
    <w:uiPriority w:val="0"/>
    <w:pPr>
      <w:spacing w:line="330" w:lineRule="atLeast"/>
      <w:ind w:left="360" w:firstLine="360" w:firstLineChars="150"/>
      <w:jc w:val="left"/>
    </w:pPr>
    <w:rPr>
      <w:rFonts w:ascii="ˎ̥" w:hAnsi="ˎ̥" w:cs="宋体"/>
      <w:color w:val="51585D"/>
      <w:kern w:val="0"/>
      <w:sz w:val="24"/>
      <w:szCs w:val="18"/>
    </w:rPr>
  </w:style>
  <w:style w:type="paragraph" w:customStyle="1" w:styleId="103">
    <w:name w:val="Char Char"/>
    <w:next w:val="1"/>
    <w:uiPriority w:val="0"/>
    <w:pPr>
      <w:keepNext/>
      <w:keepLines/>
      <w:spacing w:before="240" w:after="240"/>
      <w:ind w:left="624" w:hanging="624"/>
      <w:outlineLvl w:val="7"/>
    </w:pPr>
    <w:rPr>
      <w:rFonts w:ascii="Arial" w:hAnsi="Arial" w:eastAsia="黑体" w:cs="Arial"/>
      <w:snapToGrid w:val="0"/>
      <w:sz w:val="21"/>
      <w:szCs w:val="21"/>
      <w:lang w:val="en-US" w:eastAsia="zh-CN" w:bidi="ar-SA"/>
    </w:rPr>
  </w:style>
  <w:style w:type="paragraph" w:customStyle="1" w:styleId="104">
    <w:name w:val="style11"/>
    <w:basedOn w:val="1"/>
    <w:uiPriority w:val="0"/>
    <w:pPr>
      <w:widowControl/>
      <w:spacing w:before="100" w:beforeAutospacing="1" w:after="100" w:afterAutospacing="1"/>
      <w:jc w:val="left"/>
    </w:pPr>
    <w:rPr>
      <w:rFonts w:ascii="宋体" w:hAnsi="宋体"/>
      <w:color w:val="666666"/>
      <w:kern w:val="0"/>
      <w:sz w:val="24"/>
      <w:szCs w:val="24"/>
    </w:rPr>
  </w:style>
  <w:style w:type="paragraph" w:customStyle="1" w:styleId="105">
    <w:name w:val="2"/>
    <w:basedOn w:val="1"/>
    <w:uiPriority w:val="0"/>
    <w:pPr>
      <w:widowControl/>
      <w:spacing w:before="100" w:beforeAutospacing="1" w:after="100" w:afterAutospacing="1"/>
      <w:jc w:val="left"/>
    </w:pPr>
    <w:rPr>
      <w:rFonts w:ascii="宋体" w:hAnsi="宋体"/>
      <w:kern w:val="0"/>
      <w:sz w:val="24"/>
      <w:szCs w:val="24"/>
    </w:rPr>
  </w:style>
  <w:style w:type="paragraph" w:customStyle="1" w:styleId="106">
    <w:name w:val="标题3."/>
    <w:basedOn w:val="4"/>
    <w:next w:val="42"/>
    <w:qFormat/>
    <w:uiPriority w:val="0"/>
    <w:pPr>
      <w:numPr>
        <w:numId w:val="0"/>
      </w:numPr>
      <w:tabs>
        <w:tab w:val="left" w:pos="425"/>
      </w:tabs>
      <w:jc w:val="center"/>
    </w:pPr>
    <w:rPr>
      <w:b/>
      <w:sz w:val="32"/>
    </w:rPr>
  </w:style>
  <w:style w:type="paragraph" w:customStyle="1" w:styleId="107">
    <w:name w:val="默认段落字体 Para Char Char Char Char"/>
    <w:basedOn w:val="1"/>
    <w:qFormat/>
    <w:uiPriority w:val="0"/>
    <w:rPr>
      <w:rFonts w:ascii="Times New Roman" w:hAnsi="Times New Roman"/>
      <w:szCs w:val="24"/>
    </w:rPr>
  </w:style>
  <w:style w:type="paragraph" w:customStyle="1" w:styleId="108">
    <w:name w:val="Blockquote"/>
    <w:basedOn w:val="1"/>
    <w:qFormat/>
    <w:uiPriority w:val="0"/>
    <w:pPr>
      <w:autoSpaceDE w:val="0"/>
      <w:autoSpaceDN w:val="0"/>
      <w:adjustRightInd w:val="0"/>
      <w:spacing w:before="100" w:after="100"/>
      <w:ind w:left="360" w:right="360"/>
      <w:jc w:val="left"/>
    </w:pPr>
    <w:rPr>
      <w:rFonts w:ascii="Times New Roman" w:hAnsi="Times New Roman"/>
      <w:kern w:val="0"/>
      <w:sz w:val="24"/>
      <w:szCs w:val="20"/>
    </w:rPr>
  </w:style>
  <w:style w:type="paragraph" w:customStyle="1" w:styleId="109">
    <w:name w:val="样式 标题 1 + 段前: 0.5 行 段后: 0.5 行"/>
    <w:basedOn w:val="2"/>
    <w:uiPriority w:val="0"/>
    <w:pPr>
      <w:keepLines/>
      <w:numPr>
        <w:numId w:val="4"/>
      </w:numPr>
      <w:tabs>
        <w:tab w:val="left" w:pos="6120"/>
      </w:tabs>
      <w:adjustRightInd w:val="0"/>
      <w:spacing w:beforeLines="50" w:afterLines="50" w:line="240" w:lineRule="auto"/>
      <w:ind w:left="450" w:leftChars="514" w:right="924" w:rightChars="440" w:hanging="450"/>
      <w:textAlignment w:val="baseline"/>
    </w:pPr>
    <w:rPr>
      <w:rFonts w:ascii="Times New Roman" w:eastAsia="宋体"/>
      <w:bCs/>
      <w:kern w:val="44"/>
      <w:sz w:val="36"/>
    </w:rPr>
  </w:style>
  <w:style w:type="paragraph" w:customStyle="1" w:styleId="110">
    <w:name w:val="xl36"/>
    <w:basedOn w:val="1"/>
    <w:uiPriority w:val="0"/>
    <w:pPr>
      <w:widowControl/>
      <w:adjustRightInd w:val="0"/>
      <w:spacing w:before="100" w:beforeAutospacing="1" w:after="100" w:afterAutospacing="1" w:line="360" w:lineRule="auto"/>
      <w:ind w:firstLine="200" w:firstLineChars="200"/>
      <w:jc w:val="left"/>
      <w:textAlignment w:val="baseline"/>
    </w:pPr>
    <w:rPr>
      <w:rFonts w:ascii="宋体" w:hAnsi="宋体" w:eastAsia="MingLiU"/>
      <w:kern w:val="0"/>
      <w:sz w:val="24"/>
      <w:szCs w:val="20"/>
      <w:lang w:eastAsia="zh-TW"/>
    </w:rPr>
  </w:style>
  <w:style w:type="paragraph" w:customStyle="1" w:styleId="111">
    <w:name w:val="表格"/>
    <w:basedOn w:val="16"/>
    <w:next w:val="21"/>
    <w:link w:val="112"/>
    <w:qFormat/>
    <w:uiPriority w:val="0"/>
    <w:pPr>
      <w:widowControl/>
      <w:topLinePunct/>
      <w:adjustRightInd w:val="0"/>
      <w:spacing w:before="120" w:after="120" w:line="360" w:lineRule="auto"/>
      <w:ind w:firstLine="200" w:firstLineChars="200"/>
      <w:jc w:val="left"/>
      <w:textAlignment w:val="baseline"/>
    </w:pPr>
    <w:rPr>
      <w:rFonts w:ascii="MingLiU" w:hAnsi="Times New Roman" w:eastAsia="MingLiU"/>
      <w:bCs/>
      <w:sz w:val="24"/>
      <w:szCs w:val="20"/>
      <w:lang w:eastAsia="zh-TW"/>
    </w:rPr>
  </w:style>
  <w:style w:type="character" w:customStyle="1" w:styleId="112">
    <w:name w:val="表格 Char"/>
    <w:link w:val="111"/>
    <w:uiPriority w:val="0"/>
    <w:rPr>
      <w:rFonts w:ascii="MingLiU" w:hAnsi="Times New Roman" w:eastAsia="MingLiU" w:cs="Times New Roman"/>
      <w:bCs/>
      <w:sz w:val="24"/>
      <w:szCs w:val="20"/>
      <w:lang w:eastAsia="zh-TW"/>
    </w:rPr>
  </w:style>
  <w:style w:type="paragraph" w:customStyle="1" w:styleId="113">
    <w:name w:val="样式 样式 表格 + 全部大写 + 非全部大写"/>
    <w:basedOn w:val="1"/>
    <w:uiPriority w:val="0"/>
    <w:pPr>
      <w:widowControl/>
      <w:topLinePunct/>
      <w:adjustRightInd w:val="0"/>
      <w:spacing w:before="120" w:after="120" w:line="360" w:lineRule="auto"/>
      <w:ind w:firstLine="200" w:firstLineChars="200"/>
      <w:jc w:val="left"/>
      <w:textAlignment w:val="baseline"/>
    </w:pPr>
    <w:rPr>
      <w:rFonts w:ascii="MingLiU" w:hAnsi="Times New Roman" w:eastAsia="MingLiU"/>
      <w:kern w:val="0"/>
      <w:sz w:val="24"/>
      <w:szCs w:val="20"/>
      <w:lang w:eastAsia="zh-TW"/>
    </w:rPr>
  </w:style>
  <w:style w:type="paragraph" w:customStyle="1" w:styleId="114">
    <w:name w:val="正文文本 21"/>
    <w:basedOn w:val="1"/>
    <w:uiPriority w:val="0"/>
    <w:pPr>
      <w:adjustRightInd w:val="0"/>
      <w:spacing w:after="120"/>
      <w:ind w:left="360"/>
      <w:jc w:val="left"/>
      <w:textAlignment w:val="baseline"/>
    </w:pPr>
    <w:rPr>
      <w:rFonts w:ascii="MingLiU" w:hAnsi="Times New Roman" w:eastAsia="MingLiU"/>
      <w:kern w:val="0"/>
      <w:sz w:val="22"/>
      <w:szCs w:val="20"/>
      <w:lang w:eastAsia="zh-TW"/>
    </w:rPr>
  </w:style>
  <w:style w:type="paragraph" w:customStyle="1" w:styleId="115">
    <w:name w:val="H2"/>
    <w:uiPriority w:val="0"/>
    <w:pPr>
      <w:widowControl w:val="0"/>
      <w:adjustRightInd w:val="0"/>
      <w:spacing w:after="240" w:line="0" w:lineRule="atLeast"/>
      <w:textAlignment w:val="baseline"/>
    </w:pPr>
    <w:rPr>
      <w:rFonts w:ascii="Times New Roman" w:hAnsi="Times New Roman" w:eastAsia="全真中明體" w:cs="Times New Roman"/>
      <w:b/>
      <w:spacing w:val="20"/>
      <w:sz w:val="24"/>
      <w:lang w:val="en-US" w:eastAsia="zh-TW" w:bidi="ar-SA"/>
    </w:rPr>
  </w:style>
  <w:style w:type="paragraph" w:customStyle="1" w:styleId="116">
    <w:name w:val="P1"/>
    <w:uiPriority w:val="0"/>
    <w:pPr>
      <w:widowControl w:val="0"/>
      <w:adjustRightInd w:val="0"/>
      <w:spacing w:after="240" w:line="0" w:lineRule="atLeast"/>
      <w:ind w:left="2304" w:hanging="576"/>
      <w:jc w:val="both"/>
      <w:textAlignment w:val="baseline"/>
    </w:pPr>
    <w:rPr>
      <w:rFonts w:ascii="Times New Roman" w:hAnsi="Times New Roman" w:eastAsia="全真中明體" w:cs="Times New Roman"/>
      <w:spacing w:val="20"/>
      <w:sz w:val="24"/>
      <w:lang w:val="en-US" w:eastAsia="zh-TW" w:bidi="ar-SA"/>
    </w:rPr>
  </w:style>
  <w:style w:type="paragraph" w:customStyle="1" w:styleId="117">
    <w:name w:val="P2"/>
    <w:qFormat/>
    <w:uiPriority w:val="0"/>
    <w:pPr>
      <w:widowControl w:val="0"/>
      <w:adjustRightInd w:val="0"/>
      <w:spacing w:after="240" w:line="0" w:lineRule="atLeast"/>
      <w:ind w:left="1728"/>
      <w:jc w:val="both"/>
      <w:textAlignment w:val="baseline"/>
    </w:pPr>
    <w:rPr>
      <w:rFonts w:ascii="Times New Roman" w:hAnsi="Times New Roman" w:eastAsia="全真中明體" w:cs="Times New Roman"/>
      <w:spacing w:val="20"/>
      <w:sz w:val="24"/>
      <w:lang w:val="en-US" w:eastAsia="zh-TW" w:bidi="ar-SA"/>
    </w:rPr>
  </w:style>
  <w:style w:type="paragraph" w:customStyle="1" w:styleId="118">
    <w:name w:val="H1"/>
    <w:uiPriority w:val="0"/>
    <w:pPr>
      <w:widowControl w:val="0"/>
      <w:adjustRightInd w:val="0"/>
      <w:spacing w:after="240" w:line="0" w:lineRule="atLeast"/>
      <w:textAlignment w:val="baseline"/>
    </w:pPr>
    <w:rPr>
      <w:rFonts w:ascii="Times New Roman" w:hAnsi="Times New Roman" w:eastAsia="全真中明體" w:cs="Times New Roman"/>
      <w:b/>
      <w:caps/>
      <w:spacing w:val="30"/>
      <w:sz w:val="24"/>
      <w:lang w:val="en-US" w:eastAsia="zh-TW" w:bidi="ar-SA"/>
    </w:rPr>
  </w:style>
  <w:style w:type="paragraph" w:customStyle="1" w:styleId="119">
    <w:name w:val="P7"/>
    <w:uiPriority w:val="0"/>
    <w:pPr>
      <w:widowControl w:val="0"/>
      <w:tabs>
        <w:tab w:val="left" w:pos="576"/>
      </w:tabs>
      <w:adjustRightInd w:val="0"/>
      <w:spacing w:after="240" w:line="0" w:lineRule="atLeast"/>
      <w:ind w:left="1728" w:hanging="1728"/>
      <w:jc w:val="both"/>
      <w:textAlignment w:val="baseline"/>
    </w:pPr>
    <w:rPr>
      <w:rFonts w:ascii="Times New Roman" w:hAnsi="Times New Roman" w:eastAsia="全真中明體" w:cs="Times New Roman"/>
      <w:spacing w:val="30"/>
      <w:sz w:val="24"/>
      <w:lang w:val="en-US" w:eastAsia="zh-TW" w:bidi="ar-SA"/>
    </w:rPr>
  </w:style>
  <w:style w:type="paragraph" w:customStyle="1" w:styleId="120">
    <w:name w:val="P5"/>
    <w:uiPriority w:val="0"/>
    <w:pPr>
      <w:widowControl w:val="0"/>
      <w:adjustRightInd w:val="0"/>
      <w:spacing w:after="240" w:line="0" w:lineRule="atLeast"/>
      <w:ind w:left="2304"/>
      <w:jc w:val="both"/>
      <w:textAlignment w:val="baseline"/>
    </w:pPr>
    <w:rPr>
      <w:rFonts w:ascii="Times New Roman" w:hAnsi="Times New Roman" w:eastAsia="全真中明體" w:cs="Times New Roman"/>
      <w:spacing w:val="30"/>
      <w:sz w:val="24"/>
      <w:lang w:val="en-US" w:eastAsia="zh-TW" w:bidi="ar-SA"/>
    </w:rPr>
  </w:style>
  <w:style w:type="paragraph" w:customStyle="1" w:styleId="121">
    <w:name w:val="P3"/>
    <w:uiPriority w:val="0"/>
    <w:pPr>
      <w:widowControl w:val="0"/>
      <w:adjustRightInd w:val="0"/>
      <w:spacing w:after="240" w:line="0" w:lineRule="atLeast"/>
      <w:ind w:left="2880" w:hanging="576"/>
      <w:jc w:val="both"/>
      <w:textAlignment w:val="baseline"/>
    </w:pPr>
    <w:rPr>
      <w:rFonts w:ascii="Times New Roman" w:hAnsi="Times New Roman" w:eastAsia="全真中明體" w:cs="Times New Roman"/>
      <w:spacing w:val="30"/>
      <w:sz w:val="24"/>
      <w:lang w:val="en-US" w:eastAsia="zh-TW" w:bidi="ar-SA"/>
    </w:rPr>
  </w:style>
  <w:style w:type="paragraph" w:customStyle="1" w:styleId="122">
    <w:name w:val="P4"/>
    <w:qFormat/>
    <w:uiPriority w:val="0"/>
    <w:pPr>
      <w:widowControl w:val="0"/>
      <w:adjustRightInd w:val="0"/>
      <w:spacing w:after="240" w:line="0" w:lineRule="atLeast"/>
      <w:ind w:left="2880"/>
      <w:jc w:val="both"/>
      <w:textAlignment w:val="baseline"/>
    </w:pPr>
    <w:rPr>
      <w:rFonts w:ascii="Times New Roman" w:hAnsi="Times New Roman" w:eastAsia="全真中明體" w:cs="Times New Roman"/>
      <w:spacing w:val="20"/>
      <w:sz w:val="24"/>
      <w:lang w:val="en-US" w:eastAsia="zh-TW" w:bidi="ar-SA"/>
    </w:rPr>
  </w:style>
  <w:style w:type="paragraph" w:customStyle="1" w:styleId="123">
    <w:name w:val="P6"/>
    <w:qFormat/>
    <w:uiPriority w:val="0"/>
    <w:pPr>
      <w:widowControl w:val="0"/>
      <w:adjustRightInd w:val="0"/>
      <w:spacing w:after="240" w:line="0" w:lineRule="atLeast"/>
      <w:ind w:left="3456" w:hanging="576"/>
      <w:jc w:val="both"/>
      <w:textAlignment w:val="baseline"/>
    </w:pPr>
    <w:rPr>
      <w:rFonts w:ascii="Times New Roman" w:hAnsi="Times New Roman" w:eastAsia="全真中明體" w:cs="Times New Roman"/>
      <w:spacing w:val="20"/>
      <w:sz w:val="24"/>
      <w:lang w:val="en-US" w:eastAsia="zh-TW" w:bidi="ar-SA"/>
    </w:rPr>
  </w:style>
  <w:style w:type="paragraph" w:customStyle="1" w:styleId="124">
    <w:name w:val="P10"/>
    <w:basedOn w:val="120"/>
    <w:uiPriority w:val="0"/>
    <w:pPr>
      <w:ind w:left="3240"/>
    </w:pPr>
    <w:rPr>
      <w:spacing w:val="20"/>
    </w:rPr>
  </w:style>
  <w:style w:type="paragraph" w:customStyle="1" w:styleId="125">
    <w:name w:val="样式 标题 1 + (西文) MingLiU (中文) 宋体 小四"/>
    <w:basedOn w:val="2"/>
    <w:qFormat/>
    <w:uiPriority w:val="0"/>
    <w:pPr>
      <w:keepLines/>
      <w:numPr>
        <w:numId w:val="0"/>
      </w:numPr>
      <w:spacing w:before="340" w:after="330" w:line="578" w:lineRule="auto"/>
      <w:jc w:val="left"/>
    </w:pPr>
    <w:rPr>
      <w:rFonts w:ascii="MingLiU" w:hAnsi="MingLiU" w:eastAsia="宋体"/>
      <w:bCs/>
      <w:color w:val="000000"/>
      <w:kern w:val="44"/>
      <w:sz w:val="24"/>
      <w:shd w:val="pct10" w:color="auto" w:fill="FFFFFF"/>
    </w:rPr>
  </w:style>
  <w:style w:type="paragraph" w:customStyle="1" w:styleId="126">
    <w:name w:val="cjk"/>
    <w:basedOn w:val="1"/>
    <w:qFormat/>
    <w:uiPriority w:val="0"/>
    <w:pPr>
      <w:widowControl/>
      <w:spacing w:before="284" w:after="100" w:afterAutospacing="1" w:line="360" w:lineRule="auto"/>
      <w:jc w:val="left"/>
    </w:pPr>
    <w:rPr>
      <w:rFonts w:ascii="宋体" w:hAnsi="宋体" w:cs="宋体"/>
      <w:kern w:val="0"/>
      <w:sz w:val="22"/>
    </w:rPr>
  </w:style>
  <w:style w:type="paragraph" w:customStyle="1" w:styleId="127">
    <w:name w:val="cjk1"/>
    <w:basedOn w:val="1"/>
    <w:uiPriority w:val="0"/>
    <w:pPr>
      <w:widowControl/>
      <w:spacing w:before="284" w:line="360" w:lineRule="auto"/>
      <w:jc w:val="left"/>
    </w:pPr>
    <w:rPr>
      <w:rFonts w:ascii="宋体" w:hAnsi="宋体" w:cs="宋体"/>
      <w:kern w:val="0"/>
      <w:sz w:val="22"/>
    </w:rPr>
  </w:style>
  <w:style w:type="paragraph" w:customStyle="1" w:styleId="128">
    <w:name w:val="cjk2"/>
    <w:basedOn w:val="1"/>
    <w:qFormat/>
    <w:uiPriority w:val="0"/>
    <w:pPr>
      <w:widowControl/>
      <w:spacing w:before="284" w:line="360" w:lineRule="auto"/>
      <w:jc w:val="left"/>
    </w:pPr>
    <w:rPr>
      <w:rFonts w:ascii="宋体" w:hAnsi="宋体" w:cs="宋体"/>
      <w:kern w:val="0"/>
      <w:sz w:val="22"/>
    </w:rPr>
  </w:style>
  <w:style w:type="paragraph" w:customStyle="1" w:styleId="129">
    <w:name w:val="普通(Web)1"/>
    <w:basedOn w:val="1"/>
    <w:uiPriority w:val="0"/>
    <w:pPr>
      <w:widowControl/>
      <w:spacing w:before="284" w:line="360" w:lineRule="auto"/>
      <w:jc w:val="left"/>
    </w:pPr>
    <w:rPr>
      <w:rFonts w:ascii="宋体" w:hAnsi="宋体" w:cs="宋体"/>
      <w:kern w:val="0"/>
      <w:sz w:val="24"/>
      <w:szCs w:val="24"/>
    </w:rPr>
  </w:style>
  <w:style w:type="paragraph" w:customStyle="1" w:styleId="130">
    <w:name w:val="font6"/>
    <w:basedOn w:val="1"/>
    <w:uiPriority w:val="0"/>
    <w:pPr>
      <w:widowControl/>
      <w:spacing w:before="100" w:beforeAutospacing="1" w:after="100" w:afterAutospacing="1"/>
      <w:jc w:val="left"/>
    </w:pPr>
    <w:rPr>
      <w:rFonts w:hint="eastAsia" w:ascii="宋体" w:hAnsi="宋体"/>
      <w:kern w:val="0"/>
      <w:sz w:val="20"/>
      <w:szCs w:val="20"/>
    </w:rPr>
  </w:style>
  <w:style w:type="paragraph" w:customStyle="1" w:styleId="131">
    <w:name w:val="1"/>
    <w:basedOn w:val="1"/>
    <w:next w:val="12"/>
    <w:uiPriority w:val="0"/>
    <w:pPr>
      <w:ind w:firstLine="420"/>
    </w:pPr>
    <w:rPr>
      <w:rFonts w:ascii="Times New Roman" w:hAnsi="Times New Roman"/>
      <w:szCs w:val="20"/>
    </w:rPr>
  </w:style>
  <w:style w:type="paragraph" w:customStyle="1" w:styleId="132">
    <w:name w:val="font5"/>
    <w:basedOn w:val="1"/>
    <w:uiPriority w:val="0"/>
    <w:pPr>
      <w:widowControl/>
      <w:spacing w:before="100" w:beforeAutospacing="1" w:after="100" w:afterAutospacing="1"/>
      <w:jc w:val="left"/>
    </w:pPr>
    <w:rPr>
      <w:rFonts w:hint="eastAsia" w:ascii="宋体" w:hAnsi="宋体" w:cs="Arial Unicode MS"/>
      <w:kern w:val="0"/>
      <w:sz w:val="18"/>
      <w:szCs w:val="18"/>
      <w:lang w:eastAsia="en-US"/>
    </w:rPr>
  </w:style>
  <w:style w:type="paragraph" w:customStyle="1" w:styleId="133">
    <w:name w:val="xl24"/>
    <w:basedOn w:val="1"/>
    <w:uiPriority w:val="0"/>
    <w:pPr>
      <w:widowControl/>
      <w:pBdr>
        <w:top w:val="single" w:color="000000" w:sz="4" w:space="0"/>
        <w:left w:val="single" w:color="000000" w:sz="4" w:space="0"/>
        <w:bottom w:val="single" w:color="000000" w:sz="4" w:space="0"/>
        <w:right w:val="single" w:color="000000" w:sz="4" w:space="0"/>
      </w:pBdr>
      <w:tabs>
        <w:tab w:val="left" w:pos="425"/>
      </w:tabs>
      <w:spacing w:before="100" w:beforeAutospacing="1" w:after="100" w:afterAutospacing="1"/>
      <w:jc w:val="center"/>
    </w:pPr>
    <w:rPr>
      <w:rFonts w:hint="eastAsia" w:ascii="宋体" w:hAnsi="宋体" w:cs="Arial Unicode MS"/>
      <w:kern w:val="0"/>
      <w:sz w:val="24"/>
      <w:szCs w:val="24"/>
      <w:lang w:eastAsia="en-US"/>
    </w:rPr>
  </w:style>
  <w:style w:type="paragraph" w:customStyle="1" w:styleId="134">
    <w:name w:val="xl25"/>
    <w:basedOn w:val="1"/>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16"/>
      <w:szCs w:val="16"/>
      <w:lang w:eastAsia="en-US"/>
    </w:rPr>
  </w:style>
  <w:style w:type="paragraph" w:customStyle="1" w:styleId="135">
    <w:name w:val="xl26"/>
    <w:basedOn w:val="1"/>
    <w:uiPriority w:val="0"/>
    <w:pPr>
      <w:widowControl/>
      <w:pBdr>
        <w:top w:val="single" w:color="000000" w:sz="4" w:space="0"/>
        <w:left w:val="single" w:color="000000" w:sz="8" w:space="0"/>
        <w:bottom w:val="single" w:color="000000" w:sz="4" w:space="0"/>
        <w:right w:val="single" w:color="000000" w:sz="4"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36">
    <w:name w:val="xl27"/>
    <w:basedOn w:val="1"/>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left"/>
      <w:textAlignment w:val="top"/>
    </w:pPr>
    <w:rPr>
      <w:rFonts w:ascii="Times New Roman" w:hAnsi="Times New Roman" w:eastAsia="Arial Unicode MS"/>
      <w:kern w:val="0"/>
      <w:szCs w:val="21"/>
      <w:lang w:eastAsia="en-US"/>
    </w:rPr>
  </w:style>
  <w:style w:type="paragraph" w:customStyle="1" w:styleId="137">
    <w:name w:val="xl28"/>
    <w:basedOn w:val="1"/>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Times New Roman" w:hAnsi="Times New Roman" w:eastAsia="Arial Unicode MS"/>
      <w:kern w:val="0"/>
      <w:szCs w:val="21"/>
      <w:lang w:eastAsia="en-US"/>
    </w:rPr>
  </w:style>
  <w:style w:type="paragraph" w:customStyle="1" w:styleId="138">
    <w:name w:val="xl29"/>
    <w:basedOn w:val="1"/>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39">
    <w:name w:val="xl30"/>
    <w:basedOn w:val="1"/>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40">
    <w:name w:val="xl31"/>
    <w:basedOn w:val="1"/>
    <w:uiPriority w:val="0"/>
    <w:pPr>
      <w:widowControl/>
      <w:pBdr>
        <w:left w:val="single" w:color="000000" w:sz="8" w:space="0"/>
        <w:bottom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41">
    <w:name w:val="xl32"/>
    <w:basedOn w:val="1"/>
    <w:uiPriority w:val="0"/>
    <w:pPr>
      <w:widowControl/>
      <w:pBdr>
        <w:top w:val="single" w:color="000000" w:sz="4" w:space="0"/>
        <w:left w:val="single" w:color="000000" w:sz="8" w:space="0"/>
        <w:bottom w:val="single" w:color="000000" w:sz="8" w:space="0"/>
        <w:right w:val="single" w:color="000000" w:sz="4"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42">
    <w:name w:val="xl33"/>
    <w:basedOn w:val="1"/>
    <w:uiPriority w:val="0"/>
    <w:pPr>
      <w:widowControl/>
      <w:pBdr>
        <w:top w:val="single" w:color="000000" w:sz="4" w:space="0"/>
        <w:left w:val="single" w:color="000000" w:sz="4" w:space="0"/>
        <w:bottom w:val="single" w:color="000000" w:sz="8" w:space="0"/>
        <w:right w:val="single" w:color="000000" w:sz="4"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43">
    <w:name w:val="xl34"/>
    <w:basedOn w:val="1"/>
    <w:uiPriority w:val="0"/>
    <w:pPr>
      <w:widowControl/>
      <w:pBdr>
        <w:top w:val="single" w:color="000000" w:sz="4" w:space="0"/>
        <w:left w:val="single" w:color="000000" w:sz="4" w:space="0"/>
        <w:bottom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44">
    <w:name w:val="xl35"/>
    <w:basedOn w:val="1"/>
    <w:uiPriority w:val="0"/>
    <w:pPr>
      <w:widowControl/>
      <w:pBdr>
        <w:top w:val="single" w:color="000000" w:sz="8" w:space="0"/>
        <w:left w:val="single" w:color="000000" w:sz="8"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lang w:eastAsia="en-US"/>
    </w:rPr>
  </w:style>
  <w:style w:type="paragraph" w:customStyle="1" w:styleId="145">
    <w:name w:val="xl37"/>
    <w:basedOn w:val="1"/>
    <w:uiPriority w:val="0"/>
    <w:pPr>
      <w:widowControl/>
      <w:pBdr>
        <w:top w:val="single" w:color="000000" w:sz="8"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lang w:eastAsia="en-US"/>
    </w:rPr>
  </w:style>
  <w:style w:type="paragraph" w:customStyle="1" w:styleId="146">
    <w:name w:val="xl38"/>
    <w:basedOn w:val="1"/>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hint="eastAsia" w:ascii="宋体" w:hAnsi="宋体" w:cs="Arial Unicode MS"/>
      <w:kern w:val="0"/>
      <w:sz w:val="22"/>
      <w:lang w:eastAsia="en-US"/>
    </w:rPr>
  </w:style>
  <w:style w:type="paragraph" w:customStyle="1" w:styleId="147">
    <w:name w:val="xl39"/>
    <w:basedOn w:val="1"/>
    <w:uiPriority w:val="0"/>
    <w:pPr>
      <w:widowControl/>
      <w:pBdr>
        <w:top w:val="single" w:color="000000" w:sz="8" w:space="0"/>
        <w:left w:val="single" w:color="000000" w:sz="4" w:space="0"/>
        <w:bottom w:val="single" w:color="000000" w:sz="4" w:space="0"/>
        <w:right w:val="single" w:color="000000" w:sz="8" w:space="0"/>
      </w:pBdr>
      <w:spacing w:before="100" w:beforeAutospacing="1" w:after="100" w:afterAutospacing="1"/>
      <w:jc w:val="center"/>
    </w:pPr>
    <w:rPr>
      <w:rFonts w:hint="eastAsia" w:ascii="宋体" w:hAnsi="宋体" w:cs="Arial Unicode MS"/>
      <w:kern w:val="0"/>
      <w:sz w:val="22"/>
      <w:lang w:eastAsia="en-US"/>
    </w:rPr>
  </w:style>
  <w:style w:type="paragraph" w:customStyle="1" w:styleId="148">
    <w:name w:val="xl40"/>
    <w:basedOn w:val="1"/>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center"/>
    </w:pPr>
    <w:rPr>
      <w:rFonts w:hint="eastAsia" w:ascii="宋体" w:hAnsi="宋体" w:cs="Arial Unicode MS"/>
      <w:kern w:val="0"/>
      <w:sz w:val="22"/>
      <w:lang w:eastAsia="en-US"/>
    </w:rPr>
  </w:style>
  <w:style w:type="paragraph" w:customStyle="1" w:styleId="149">
    <w:name w:val="xl41"/>
    <w:basedOn w:val="1"/>
    <w:uiPriority w:val="0"/>
    <w:pPr>
      <w:widowControl/>
      <w:pBdr>
        <w:top w:val="single" w:color="000000" w:sz="8" w:space="0"/>
        <w:left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50">
    <w:name w:val="xl42"/>
    <w:basedOn w:val="1"/>
    <w:uiPriority w:val="0"/>
    <w:pPr>
      <w:widowControl/>
      <w:pBdr>
        <w:left w:val="single" w:color="000000" w:sz="8" w:space="0"/>
        <w:right w:val="single" w:color="000000" w:sz="8" w:space="0"/>
      </w:pBdr>
      <w:spacing w:before="100" w:beforeAutospacing="1" w:after="100" w:afterAutospacing="1"/>
      <w:jc w:val="left"/>
      <w:textAlignment w:val="top"/>
    </w:pPr>
    <w:rPr>
      <w:rFonts w:hint="eastAsia" w:ascii="宋体" w:hAnsi="宋体" w:cs="Arial Unicode MS"/>
      <w:kern w:val="0"/>
      <w:sz w:val="22"/>
      <w:lang w:eastAsia="en-US"/>
    </w:rPr>
  </w:style>
  <w:style w:type="paragraph" w:customStyle="1" w:styleId="151">
    <w:name w:val="xl43"/>
    <w:basedOn w:val="1"/>
    <w:uiPriority w:val="0"/>
    <w:pPr>
      <w:widowControl/>
      <w:pBdr>
        <w:top w:val="single" w:color="000000" w:sz="8" w:space="0"/>
        <w:left w:val="single" w:color="000000" w:sz="8" w:space="0"/>
        <w:right w:val="single" w:color="000000" w:sz="8" w:space="0"/>
      </w:pBdr>
      <w:spacing w:before="100" w:beforeAutospacing="1" w:after="100" w:afterAutospacing="1"/>
      <w:jc w:val="center"/>
    </w:pPr>
    <w:rPr>
      <w:rFonts w:hint="eastAsia" w:ascii="宋体" w:hAnsi="宋体" w:cs="Arial Unicode MS"/>
      <w:kern w:val="0"/>
      <w:sz w:val="22"/>
      <w:lang w:eastAsia="en-US"/>
    </w:rPr>
  </w:style>
  <w:style w:type="paragraph" w:customStyle="1" w:styleId="152">
    <w:name w:val="xl44"/>
    <w:basedOn w:val="1"/>
    <w:uiPriority w:val="0"/>
    <w:pPr>
      <w:widowControl/>
      <w:pBdr>
        <w:left w:val="single" w:color="000000" w:sz="8" w:space="0"/>
        <w:bottom w:val="single" w:color="000000" w:sz="8" w:space="0"/>
        <w:right w:val="single" w:color="000000" w:sz="8" w:space="0"/>
      </w:pBdr>
      <w:spacing w:before="100" w:beforeAutospacing="1" w:after="100" w:afterAutospacing="1"/>
      <w:jc w:val="center"/>
    </w:pPr>
    <w:rPr>
      <w:rFonts w:hint="eastAsia" w:ascii="宋体" w:hAnsi="宋体" w:cs="Arial Unicode MS"/>
      <w:kern w:val="0"/>
      <w:sz w:val="22"/>
      <w:lang w:eastAsia="en-US"/>
    </w:rPr>
  </w:style>
  <w:style w:type="paragraph" w:customStyle="1" w:styleId="153">
    <w:name w:val="font7"/>
    <w:basedOn w:val="1"/>
    <w:uiPriority w:val="0"/>
    <w:pPr>
      <w:widowControl/>
      <w:spacing w:before="100" w:beforeAutospacing="1" w:after="100" w:afterAutospacing="1"/>
      <w:jc w:val="left"/>
    </w:pPr>
    <w:rPr>
      <w:rFonts w:hint="eastAsia" w:ascii="宋体" w:hAnsi="宋体" w:cs="Arial Unicode MS"/>
      <w:kern w:val="0"/>
      <w:sz w:val="22"/>
      <w:lang w:eastAsia="en-US"/>
    </w:rPr>
  </w:style>
  <w:style w:type="paragraph" w:customStyle="1" w:styleId="154">
    <w:name w:val="font8"/>
    <w:basedOn w:val="1"/>
    <w:uiPriority w:val="0"/>
    <w:pPr>
      <w:widowControl/>
      <w:spacing w:before="100" w:beforeAutospacing="1" w:after="100" w:afterAutospacing="1"/>
      <w:jc w:val="left"/>
    </w:pPr>
    <w:rPr>
      <w:rFonts w:ascii="Times New Roman" w:hAnsi="Times New Roman" w:eastAsia="Arial Unicode MS"/>
      <w:kern w:val="0"/>
      <w:sz w:val="22"/>
      <w:lang w:eastAsia="en-US"/>
    </w:rPr>
  </w:style>
  <w:style w:type="paragraph" w:customStyle="1" w:styleId="155">
    <w:name w:val="font9"/>
    <w:basedOn w:val="1"/>
    <w:uiPriority w:val="0"/>
    <w:pPr>
      <w:widowControl/>
      <w:spacing w:before="100" w:beforeAutospacing="1" w:after="100" w:afterAutospacing="1"/>
      <w:jc w:val="left"/>
    </w:pPr>
    <w:rPr>
      <w:rFonts w:ascii="Times New Roman" w:hAnsi="Times New Roman" w:eastAsia="Arial Unicode MS"/>
      <w:kern w:val="0"/>
      <w:sz w:val="18"/>
      <w:szCs w:val="18"/>
      <w:lang w:eastAsia="en-US"/>
    </w:rPr>
  </w:style>
  <w:style w:type="paragraph" w:customStyle="1" w:styleId="156">
    <w:name w:val="xl45"/>
    <w:basedOn w:val="1"/>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0"/>
      <w:szCs w:val="20"/>
      <w:lang w:eastAsia="en-US"/>
    </w:rPr>
  </w:style>
  <w:style w:type="paragraph" w:customStyle="1" w:styleId="157">
    <w:name w:val="xl4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Arial Unicode MS"/>
      <w:kern w:val="0"/>
      <w:sz w:val="22"/>
      <w:lang w:eastAsia="en-US"/>
    </w:rPr>
  </w:style>
  <w:style w:type="paragraph" w:customStyle="1" w:styleId="158">
    <w:name w:val="xl4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center"/>
    </w:pPr>
    <w:rPr>
      <w:rFonts w:ascii="Arial Unicode MS" w:hAnsi="Arial Unicode MS" w:eastAsia="Arial Unicode MS" w:cs="Arial Unicode MS"/>
      <w:kern w:val="0"/>
      <w:szCs w:val="21"/>
      <w:lang w:eastAsia="en-US"/>
    </w:rPr>
  </w:style>
  <w:style w:type="paragraph" w:customStyle="1" w:styleId="159">
    <w:name w:val="xl48"/>
    <w:basedOn w:val="1"/>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left"/>
      <w:textAlignment w:val="center"/>
    </w:pPr>
    <w:rPr>
      <w:rFonts w:ascii="Arial" w:hAnsi="Arial" w:eastAsia="Arial Unicode MS" w:cs="Arial"/>
      <w:kern w:val="0"/>
      <w:sz w:val="24"/>
      <w:szCs w:val="24"/>
      <w:lang w:eastAsia="en-US"/>
    </w:rPr>
  </w:style>
  <w:style w:type="paragraph" w:customStyle="1" w:styleId="160">
    <w:name w:val="xl49"/>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18"/>
      <w:szCs w:val="18"/>
      <w:lang w:eastAsia="en-US"/>
    </w:rPr>
  </w:style>
  <w:style w:type="paragraph" w:customStyle="1" w:styleId="161">
    <w:name w:val="xl5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2"/>
      <w:lang w:eastAsia="en-US"/>
    </w:rPr>
  </w:style>
  <w:style w:type="paragraph" w:customStyle="1" w:styleId="162">
    <w:name w:val="xl5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lang w:eastAsia="en-US"/>
    </w:rPr>
  </w:style>
  <w:style w:type="paragraph" w:customStyle="1" w:styleId="163">
    <w:name w:val="xl5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lang w:eastAsia="en-US"/>
    </w:rPr>
  </w:style>
  <w:style w:type="paragraph" w:customStyle="1" w:styleId="164">
    <w:name w:val="xl5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kern w:val="0"/>
      <w:sz w:val="22"/>
      <w:lang w:eastAsia="en-US"/>
    </w:rPr>
  </w:style>
  <w:style w:type="paragraph" w:customStyle="1" w:styleId="165">
    <w:name w:val="xl5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b/>
      <w:bCs/>
      <w:kern w:val="0"/>
      <w:sz w:val="22"/>
      <w:lang w:eastAsia="en-US"/>
    </w:rPr>
  </w:style>
  <w:style w:type="paragraph" w:customStyle="1" w:styleId="166">
    <w:name w:val="xl5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2"/>
      <w:lang w:eastAsia="en-US"/>
    </w:rPr>
  </w:style>
  <w:style w:type="paragraph" w:customStyle="1" w:styleId="167">
    <w:name w:val="xl5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b/>
      <w:bCs/>
      <w:kern w:val="0"/>
      <w:sz w:val="22"/>
      <w:lang w:eastAsia="en-US"/>
    </w:rPr>
  </w:style>
  <w:style w:type="paragraph" w:customStyle="1" w:styleId="168">
    <w:name w:val="xl57"/>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Arial" w:hAnsi="Arial" w:eastAsia="Arial Unicode MS" w:cs="Arial"/>
      <w:kern w:val="0"/>
      <w:sz w:val="22"/>
      <w:lang w:eastAsia="en-US"/>
    </w:rPr>
  </w:style>
  <w:style w:type="paragraph" w:customStyle="1" w:styleId="169">
    <w:name w:val="xl58"/>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textAlignment w:val="center"/>
    </w:pPr>
    <w:rPr>
      <w:rFonts w:ascii="Arial" w:hAnsi="Arial" w:eastAsia="Arial Unicode MS" w:cs="Arial"/>
      <w:kern w:val="0"/>
      <w:sz w:val="22"/>
      <w:lang w:eastAsia="en-US"/>
    </w:rPr>
  </w:style>
  <w:style w:type="paragraph" w:customStyle="1" w:styleId="170">
    <w:name w:val="xl59"/>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Arial" w:hAnsi="Arial" w:eastAsia="Arial Unicode MS" w:cs="Arial"/>
      <w:b/>
      <w:bCs/>
      <w:kern w:val="0"/>
      <w:sz w:val="22"/>
      <w:u w:val="single"/>
      <w:lang w:eastAsia="en-US"/>
    </w:rPr>
  </w:style>
  <w:style w:type="paragraph" w:customStyle="1" w:styleId="171">
    <w:name w:val="表头"/>
    <w:basedOn w:val="1"/>
    <w:uiPriority w:val="0"/>
    <w:pPr>
      <w:spacing w:line="360" w:lineRule="auto"/>
      <w:jc w:val="center"/>
    </w:pPr>
    <w:rPr>
      <w:rFonts w:ascii="黑体" w:hAnsi="Times New Roman" w:eastAsia="黑体"/>
      <w:kern w:val="0"/>
      <w:sz w:val="24"/>
      <w:szCs w:val="20"/>
    </w:rPr>
  </w:style>
  <w:style w:type="paragraph" w:customStyle="1" w:styleId="172">
    <w:name w:val="样式 标题 5 + 小四 行距: 1.5 倍行距"/>
    <w:basedOn w:val="6"/>
    <w:uiPriority w:val="0"/>
    <w:pPr>
      <w:widowControl w:val="0"/>
      <w:tabs>
        <w:tab w:val="clear" w:pos="1008"/>
      </w:tabs>
      <w:adjustRightInd w:val="0"/>
      <w:spacing w:before="0" w:after="0" w:line="360" w:lineRule="auto"/>
      <w:ind w:left="0" w:firstLine="0"/>
      <w:textAlignment w:val="baseline"/>
    </w:pPr>
    <w:rPr>
      <w:rFonts w:eastAsia="黑体"/>
      <w:sz w:val="24"/>
    </w:rPr>
  </w:style>
  <w:style w:type="paragraph" w:customStyle="1" w:styleId="173">
    <w:name w:val="样式 标题 6 + 行距: 1.5 倍行距"/>
    <w:basedOn w:val="7"/>
    <w:uiPriority w:val="0"/>
    <w:pPr>
      <w:widowControl w:val="0"/>
      <w:tabs>
        <w:tab w:val="left" w:pos="-147"/>
        <w:tab w:val="clear" w:pos="1152"/>
      </w:tabs>
      <w:adjustRightInd w:val="0"/>
      <w:spacing w:before="0" w:after="0" w:line="360" w:lineRule="auto"/>
      <w:ind w:left="-147" w:firstLine="567"/>
      <w:textAlignment w:val="baseline"/>
    </w:pPr>
    <w:rPr>
      <w:rFonts w:ascii="Times New Roman" w:hAnsi="Times New Roman"/>
      <w:b w:val="0"/>
      <w:szCs w:val="28"/>
    </w:rPr>
  </w:style>
  <w:style w:type="paragraph" w:customStyle="1" w:styleId="174">
    <w:name w:val="正方框图"/>
    <w:basedOn w:val="1"/>
    <w:uiPriority w:val="0"/>
    <w:pPr>
      <w:snapToGrid w:val="0"/>
      <w:jc w:val="center"/>
    </w:pPr>
    <w:rPr>
      <w:rFonts w:ascii="Times New Roman" w:hAnsi="Times New Roman"/>
      <w:sz w:val="24"/>
      <w:szCs w:val="20"/>
    </w:rPr>
  </w:style>
  <w:style w:type="paragraph" w:customStyle="1" w:styleId="175">
    <w:name w:val="样式2"/>
    <w:basedOn w:val="3"/>
    <w:uiPriority w:val="0"/>
    <w:pPr>
      <w:jc w:val="center"/>
    </w:pPr>
    <w:rPr>
      <w:rFonts w:ascii="Arial" w:hAnsi="Arial" w:eastAsia="华文中宋"/>
      <w:kern w:val="2"/>
      <w:sz w:val="36"/>
      <w:szCs w:val="36"/>
    </w:rPr>
  </w:style>
  <w:style w:type="paragraph" w:customStyle="1" w:styleId="176">
    <w:name w:val="样式1"/>
    <w:uiPriority w:val="0"/>
    <w:rPr>
      <w:rFonts w:ascii="Times New Roman" w:hAnsi="Times New Roman" w:eastAsia="宋体" w:cs="Times New Roman"/>
      <w:kern w:val="2"/>
      <w:sz w:val="21"/>
      <w:lang w:val="en-US" w:eastAsia="zh-CN" w:bidi="ar-SA"/>
    </w:rPr>
  </w:style>
  <w:style w:type="paragraph" w:customStyle="1" w:styleId="177">
    <w:name w:val="样式 标题 1合同标题章标题 1 Char Char标题 1 Char第1章第1章 Char卷标题标题 1 1..."/>
    <w:basedOn w:val="2"/>
    <w:uiPriority w:val="0"/>
    <w:pPr>
      <w:widowControl/>
      <w:numPr>
        <w:numId w:val="0"/>
      </w:numPr>
      <w:tabs>
        <w:tab w:val="left" w:pos="425"/>
      </w:tabs>
      <w:spacing w:before="284"/>
      <w:ind w:left="425" w:hanging="425"/>
    </w:pPr>
    <w:rPr>
      <w:rFonts w:ascii="宋体" w:hAnsi="宋体" w:eastAsia="宋体" w:cs="宋体"/>
      <w:bCs/>
      <w:color w:val="000000"/>
      <w:kern w:val="36"/>
      <w:sz w:val="44"/>
      <w:szCs w:val="48"/>
    </w:rPr>
  </w:style>
  <w:style w:type="paragraph" w:customStyle="1" w:styleId="178">
    <w:name w:val="样式 标题 1合同标题章标题 1 Char Char标题 1 Char第1章第1章 Char卷标题标题 1 1...1"/>
    <w:basedOn w:val="2"/>
    <w:link w:val="179"/>
    <w:uiPriority w:val="0"/>
    <w:pPr>
      <w:widowControl/>
      <w:numPr>
        <w:numId w:val="0"/>
      </w:numPr>
      <w:spacing w:before="284"/>
      <w:ind w:left="360" w:hanging="360"/>
    </w:pPr>
    <w:rPr>
      <w:rFonts w:ascii="宋体" w:hAnsi="宋体" w:eastAsia="宋体"/>
      <w:bCs/>
      <w:kern w:val="36"/>
      <w:sz w:val="28"/>
      <w:szCs w:val="48"/>
    </w:rPr>
  </w:style>
  <w:style w:type="character" w:customStyle="1" w:styleId="179">
    <w:name w:val="样式 标题 1合同标题章标题 1 Char Char标题 1 Char第1章第1章 Char卷标题标题 1 1...1 Char Char"/>
    <w:link w:val="178"/>
    <w:uiPriority w:val="0"/>
    <w:rPr>
      <w:rFonts w:ascii="宋体" w:hAnsi="宋体" w:eastAsia="宋体" w:cs="Times New Roman"/>
      <w:b/>
      <w:bCs/>
      <w:kern w:val="36"/>
      <w:sz w:val="28"/>
      <w:szCs w:val="48"/>
    </w:rPr>
  </w:style>
  <w:style w:type="paragraph" w:customStyle="1" w:styleId="180">
    <w:name w:val="表格文字"/>
    <w:basedOn w:val="1"/>
    <w:uiPriority w:val="0"/>
    <w:pPr>
      <w:widowControl/>
      <w:spacing w:line="360" w:lineRule="auto"/>
      <w:ind w:left="420" w:leftChars="175" w:firstLine="482" w:firstLineChars="200"/>
      <w:jc w:val="center"/>
    </w:pPr>
    <w:rPr>
      <w:rFonts w:ascii="楷体_GB2312" w:hAnsi="Times New Roman" w:eastAsia="楷体_GB2312"/>
      <w:sz w:val="24"/>
      <w:szCs w:val="24"/>
    </w:rPr>
  </w:style>
  <w:style w:type="paragraph" w:customStyle="1" w:styleId="181">
    <w:name w:val="Char1 Char Char Char"/>
    <w:basedOn w:val="13"/>
    <w:uiPriority w:val="0"/>
    <w:pPr>
      <w:shd w:val="clear" w:color="auto" w:fill="000080"/>
      <w:adjustRightInd w:val="0"/>
      <w:spacing w:line="436" w:lineRule="exact"/>
      <w:ind w:left="357"/>
      <w:jc w:val="left"/>
      <w:outlineLvl w:val="3"/>
    </w:pPr>
    <w:rPr>
      <w:rFonts w:ascii="Tahoma" w:hAnsi="Tahoma"/>
      <w:b/>
      <w:sz w:val="24"/>
      <w:szCs w:val="24"/>
    </w:rPr>
  </w:style>
  <w:style w:type="paragraph" w:customStyle="1" w:styleId="182">
    <w:name w:val="style2"/>
    <w:basedOn w:val="1"/>
    <w:uiPriority w:val="0"/>
    <w:pPr>
      <w:widowControl/>
      <w:spacing w:before="100" w:beforeAutospacing="1" w:after="100" w:afterAutospacing="1"/>
      <w:jc w:val="left"/>
    </w:pPr>
    <w:rPr>
      <w:rFonts w:ascii="宋体" w:hAnsi="宋体" w:cs="宋体"/>
      <w:color w:val="0066CC"/>
      <w:kern w:val="0"/>
      <w:sz w:val="24"/>
      <w:szCs w:val="24"/>
    </w:rPr>
  </w:style>
  <w:style w:type="paragraph" w:customStyle="1" w:styleId="183">
    <w:name w:val="默认段落字体 Para Char Char Char Char Char Char Char"/>
    <w:basedOn w:val="13"/>
    <w:uiPriority w:val="0"/>
    <w:pPr>
      <w:shd w:val="clear" w:color="auto" w:fill="000080"/>
    </w:pPr>
    <w:rPr>
      <w:rFonts w:ascii="Tahoma" w:hAnsi="Tahoma" w:cs="Tahoma"/>
      <w:sz w:val="24"/>
      <w:szCs w:val="24"/>
    </w:rPr>
  </w:style>
  <w:style w:type="paragraph" w:customStyle="1" w:styleId="184">
    <w:name w:val="2册标题2"/>
    <w:basedOn w:val="1"/>
    <w:uiPriority w:val="0"/>
    <w:pPr>
      <w:spacing w:beforeLines="50" w:afterLines="50"/>
      <w:outlineLvl w:val="1"/>
    </w:pPr>
    <w:rPr>
      <w:rFonts w:ascii="Arial" w:hAnsi="Arial" w:eastAsia="黑体"/>
      <w:sz w:val="32"/>
      <w:szCs w:val="32"/>
    </w:rPr>
  </w:style>
  <w:style w:type="paragraph" w:customStyle="1" w:styleId="185">
    <w:name w:val="List Alpha"/>
    <w:basedOn w:val="1"/>
    <w:uiPriority w:val="0"/>
    <w:pPr>
      <w:widowControl/>
      <w:tabs>
        <w:tab w:val="left" w:pos="425"/>
      </w:tabs>
      <w:spacing w:after="120"/>
      <w:ind w:left="425" w:hanging="425"/>
    </w:pPr>
    <w:rPr>
      <w:rFonts w:ascii="Frutiger 45 Light" w:hAnsi="Frutiger 45 Light" w:eastAsia="Times New Roman"/>
      <w:kern w:val="0"/>
      <w:sz w:val="22"/>
      <w:szCs w:val="20"/>
      <w:lang w:eastAsia="en-US"/>
    </w:rPr>
  </w:style>
  <w:style w:type="paragraph" w:customStyle="1" w:styleId="186">
    <w:name w:val="样式 标题 3 + (符号) 宋体 五号 非加粗 段前: 6 磅 段后: 6 磅 行距: 固定值 20 磅"/>
    <w:basedOn w:val="4"/>
    <w:uiPriority w:val="0"/>
    <w:pPr>
      <w:numPr>
        <w:numId w:val="0"/>
      </w:numPr>
      <w:tabs>
        <w:tab w:val="left" w:pos="425"/>
      </w:tabs>
      <w:spacing w:before="120" w:after="120" w:line="400" w:lineRule="exact"/>
    </w:pPr>
    <w:rPr>
      <w:rFonts w:ascii="Times New Roman"/>
      <w:sz w:val="21"/>
      <w:szCs w:val="20"/>
    </w:rPr>
  </w:style>
  <w:style w:type="paragraph" w:customStyle="1" w:styleId="187">
    <w:name w:val="样式 标题 4 + 宋体 五号 非加粗 段前: 6 磅 段后: 6 磅 行距: 固定值 20 磅"/>
    <w:basedOn w:val="5"/>
    <w:uiPriority w:val="0"/>
    <w:pPr>
      <w:keepLines/>
      <w:numPr>
        <w:numId w:val="0"/>
      </w:numPr>
      <w:spacing w:before="120" w:after="120" w:line="400" w:lineRule="exact"/>
    </w:pPr>
    <w:rPr>
      <w:rFonts w:ascii="Times New Roman" w:eastAsia="宋体"/>
      <w:b w:val="0"/>
      <w:spacing w:val="15"/>
      <w:szCs w:val="21"/>
    </w:rPr>
  </w:style>
  <w:style w:type="paragraph" w:customStyle="1" w:styleId="188">
    <w:name w:val="Char Char Char Char Char Char Char"/>
    <w:basedOn w:val="1"/>
    <w:uiPriority w:val="0"/>
    <w:pPr>
      <w:ind w:left="-96" w:leftChars="-40"/>
      <w:jc w:val="center"/>
    </w:pPr>
    <w:rPr>
      <w:rFonts w:ascii="宋体" w:hAnsi="宋体"/>
      <w:sz w:val="24"/>
      <w:szCs w:val="24"/>
    </w:rPr>
  </w:style>
  <w:style w:type="paragraph" w:customStyle="1" w:styleId="189">
    <w:name w:val="正文文本 22"/>
    <w:basedOn w:val="1"/>
    <w:uiPriority w:val="0"/>
    <w:pPr>
      <w:adjustRightInd w:val="0"/>
      <w:spacing w:after="120"/>
      <w:ind w:left="360"/>
      <w:jc w:val="left"/>
      <w:textAlignment w:val="baseline"/>
    </w:pPr>
    <w:rPr>
      <w:rFonts w:ascii="MingLiU" w:hAnsi="Times New Roman" w:eastAsia="MingLiU"/>
      <w:kern w:val="0"/>
      <w:sz w:val="22"/>
      <w:szCs w:val="20"/>
      <w:lang w:eastAsia="zh-TW"/>
    </w:rPr>
  </w:style>
  <w:style w:type="paragraph" w:customStyle="1" w:styleId="190">
    <w:name w:val="纯文本1"/>
    <w:basedOn w:val="1"/>
    <w:uiPriority w:val="0"/>
    <w:pPr>
      <w:adjustRightInd w:val="0"/>
      <w:jc w:val="left"/>
      <w:textAlignment w:val="baseline"/>
    </w:pPr>
    <w:rPr>
      <w:rFonts w:ascii="宋体" w:hAnsi="Courier (W1)"/>
      <w:sz w:val="24"/>
      <w:szCs w:val="24"/>
    </w:rPr>
  </w:style>
  <w:style w:type="paragraph" w:customStyle="1" w:styleId="191">
    <w:name w:val="Char Char Char Char Char Char1 Char"/>
    <w:basedOn w:val="1"/>
    <w:uiPriority w:val="0"/>
    <w:pPr>
      <w:widowControl/>
      <w:spacing w:after="160" w:line="240" w:lineRule="exact"/>
      <w:jc w:val="left"/>
    </w:pPr>
    <w:rPr>
      <w:rFonts w:ascii="Times New Roman" w:hAnsi="Times New Roman"/>
      <w:szCs w:val="24"/>
    </w:rPr>
  </w:style>
  <w:style w:type="paragraph" w:customStyle="1" w:styleId="192">
    <w:name w:val="Char Char Char Char"/>
    <w:basedOn w:val="1"/>
    <w:uiPriority w:val="0"/>
    <w:pPr>
      <w:tabs>
        <w:tab w:val="left" w:pos="360"/>
      </w:tabs>
    </w:pPr>
    <w:rPr>
      <w:rFonts w:ascii="Times New Roman" w:hAnsi="Times New Roman"/>
      <w:sz w:val="24"/>
      <w:szCs w:val="24"/>
    </w:rPr>
  </w:style>
  <w:style w:type="paragraph" w:customStyle="1" w:styleId="193">
    <w:name w:val="ggwenhao1"/>
    <w:basedOn w:val="1"/>
    <w:uiPriority w:val="0"/>
    <w:pPr>
      <w:widowControl/>
      <w:spacing w:before="100" w:beforeAutospacing="1" w:after="100" w:afterAutospacing="1" w:line="330" w:lineRule="atLeast"/>
      <w:jc w:val="left"/>
    </w:pPr>
    <w:rPr>
      <w:rFonts w:ascii="宋体" w:hAnsi="宋体"/>
      <w:kern w:val="0"/>
      <w:sz w:val="23"/>
      <w:szCs w:val="23"/>
    </w:rPr>
  </w:style>
  <w:style w:type="paragraph" w:customStyle="1" w:styleId="194">
    <w:name w:val="ggbody"/>
    <w:basedOn w:val="1"/>
    <w:uiPriority w:val="0"/>
    <w:pPr>
      <w:widowControl/>
      <w:spacing w:before="100" w:beforeAutospacing="1" w:after="100" w:afterAutospacing="1" w:line="330" w:lineRule="atLeast"/>
      <w:jc w:val="left"/>
    </w:pPr>
    <w:rPr>
      <w:rFonts w:ascii="宋体" w:hAnsi="宋体"/>
      <w:kern w:val="0"/>
      <w:sz w:val="23"/>
      <w:szCs w:val="23"/>
    </w:rPr>
  </w:style>
  <w:style w:type="paragraph" w:customStyle="1" w:styleId="195">
    <w:name w:val="xl60"/>
    <w:basedOn w:val="1"/>
    <w:uiPriority w:val="0"/>
    <w:pPr>
      <w:widowControl/>
      <w:pBdr>
        <w:top w:val="single" w:color="auto" w:sz="4" w:space="0"/>
        <w:left w:val="single" w:color="auto" w:sz="4" w:space="0"/>
        <w:right w:val="single" w:color="auto" w:sz="4" w:space="0"/>
      </w:pBdr>
      <w:spacing w:before="100" w:beforeAutospacing="1" w:after="100" w:afterAutospacing="1"/>
      <w:jc w:val="right"/>
      <w:textAlignment w:val="center"/>
    </w:pPr>
    <w:rPr>
      <w:rFonts w:ascii="宋体" w:hAnsi="宋体"/>
      <w:kern w:val="0"/>
      <w:sz w:val="20"/>
      <w:szCs w:val="20"/>
    </w:rPr>
  </w:style>
  <w:style w:type="paragraph" w:customStyle="1" w:styleId="196">
    <w:name w:val="xl61"/>
    <w:basedOn w:val="1"/>
    <w:uiPriority w:val="0"/>
    <w:pPr>
      <w:widowControl/>
      <w:pBdr>
        <w:top w:val="single" w:color="auto" w:sz="4" w:space="0"/>
        <w:left w:val="single" w:color="auto" w:sz="4" w:space="0"/>
        <w:right w:val="single" w:color="auto" w:sz="4" w:space="0"/>
      </w:pBdr>
      <w:spacing w:before="100" w:beforeAutospacing="1" w:after="100" w:afterAutospacing="1"/>
      <w:jc w:val="left"/>
      <w:textAlignment w:val="center"/>
    </w:pPr>
    <w:rPr>
      <w:rFonts w:ascii="宋体" w:hAnsi="宋体"/>
      <w:kern w:val="0"/>
      <w:sz w:val="20"/>
      <w:szCs w:val="20"/>
    </w:rPr>
  </w:style>
  <w:style w:type="paragraph" w:customStyle="1" w:styleId="197">
    <w:name w:val="xl62"/>
    <w:basedOn w:val="1"/>
    <w:uiPriority w:val="0"/>
    <w:pPr>
      <w:widowControl/>
      <w:pBdr>
        <w:top w:val="single" w:color="auto" w:sz="4" w:space="0"/>
        <w:left w:val="single" w:color="auto" w:sz="4" w:space="0"/>
      </w:pBdr>
      <w:spacing w:before="100" w:beforeAutospacing="1" w:after="100" w:afterAutospacing="1"/>
      <w:jc w:val="left"/>
      <w:textAlignment w:val="center"/>
    </w:pPr>
    <w:rPr>
      <w:rFonts w:ascii="宋体" w:hAnsi="宋体"/>
      <w:kern w:val="0"/>
      <w:sz w:val="24"/>
      <w:szCs w:val="24"/>
    </w:rPr>
  </w:style>
  <w:style w:type="paragraph" w:customStyle="1" w:styleId="198">
    <w:name w:val="xl63"/>
    <w:basedOn w:val="1"/>
    <w:uiPriority w:val="0"/>
    <w:pPr>
      <w:widowControl/>
      <w:pBdr>
        <w:top w:val="single" w:color="auto" w:sz="4" w:space="0"/>
        <w:left w:val="single" w:color="auto" w:sz="4" w:space="0"/>
        <w:right w:val="single" w:color="auto" w:sz="4" w:space="0"/>
      </w:pBdr>
      <w:spacing w:before="100" w:beforeAutospacing="1" w:after="100" w:afterAutospacing="1"/>
      <w:jc w:val="left"/>
      <w:textAlignment w:val="center"/>
    </w:pPr>
    <w:rPr>
      <w:rFonts w:ascii="宋体" w:hAnsi="宋体"/>
      <w:kern w:val="0"/>
      <w:sz w:val="24"/>
      <w:szCs w:val="24"/>
    </w:rPr>
  </w:style>
  <w:style w:type="paragraph" w:customStyle="1" w:styleId="199">
    <w:name w:val="xl64"/>
    <w:basedOn w:val="1"/>
    <w:uiPriority w:val="0"/>
    <w:pPr>
      <w:widowControl/>
      <w:pBdr>
        <w:left w:val="single" w:color="auto" w:sz="4" w:space="0"/>
        <w:right w:val="single" w:color="auto" w:sz="4" w:space="0"/>
      </w:pBdr>
      <w:spacing w:before="100" w:beforeAutospacing="1" w:after="100" w:afterAutospacing="1"/>
      <w:jc w:val="left"/>
      <w:textAlignment w:val="center"/>
    </w:pPr>
    <w:rPr>
      <w:rFonts w:ascii="宋体" w:hAnsi="宋体"/>
      <w:kern w:val="0"/>
      <w:sz w:val="20"/>
      <w:szCs w:val="20"/>
    </w:rPr>
  </w:style>
  <w:style w:type="paragraph" w:customStyle="1" w:styleId="200">
    <w:name w:val="xl65"/>
    <w:basedOn w:val="1"/>
    <w:uiPriority w:val="0"/>
    <w:pPr>
      <w:widowControl/>
      <w:pBdr>
        <w:left w:val="single" w:color="auto" w:sz="4" w:space="0"/>
      </w:pBdr>
      <w:spacing w:before="100" w:beforeAutospacing="1" w:after="100" w:afterAutospacing="1"/>
      <w:jc w:val="center"/>
      <w:textAlignment w:val="center"/>
    </w:pPr>
    <w:rPr>
      <w:rFonts w:ascii="Times New Roman" w:hAnsi="Times New Roman"/>
      <w:kern w:val="0"/>
      <w:sz w:val="20"/>
      <w:szCs w:val="20"/>
    </w:rPr>
  </w:style>
  <w:style w:type="paragraph" w:customStyle="1" w:styleId="201">
    <w:name w:val="xl66"/>
    <w:basedOn w:val="1"/>
    <w:uiPriority w:val="0"/>
    <w:pPr>
      <w:widowControl/>
      <w:pBdr>
        <w:right w:val="single" w:color="auto" w:sz="4" w:space="0"/>
      </w:pBdr>
      <w:spacing w:before="100" w:beforeAutospacing="1" w:after="100" w:afterAutospacing="1"/>
      <w:jc w:val="right"/>
      <w:textAlignment w:val="center"/>
    </w:pPr>
    <w:rPr>
      <w:rFonts w:ascii="宋体" w:hAnsi="宋体"/>
      <w:kern w:val="0"/>
      <w:sz w:val="20"/>
      <w:szCs w:val="20"/>
    </w:rPr>
  </w:style>
  <w:style w:type="paragraph" w:customStyle="1" w:styleId="202">
    <w:name w:val="xl67"/>
    <w:basedOn w:val="1"/>
    <w:uiPriority w:val="0"/>
    <w:pPr>
      <w:widowControl/>
      <w:pBdr>
        <w:right w:val="single" w:color="auto" w:sz="4" w:space="0"/>
      </w:pBdr>
      <w:spacing w:before="100" w:beforeAutospacing="1" w:after="100" w:afterAutospacing="1"/>
      <w:jc w:val="right"/>
      <w:textAlignment w:val="center"/>
    </w:pPr>
    <w:rPr>
      <w:rFonts w:ascii="宋体" w:hAnsi="宋体"/>
      <w:kern w:val="0"/>
      <w:sz w:val="20"/>
      <w:szCs w:val="20"/>
    </w:rPr>
  </w:style>
  <w:style w:type="paragraph" w:customStyle="1" w:styleId="203">
    <w:name w:val="xl68"/>
    <w:basedOn w:val="1"/>
    <w:uiPriority w:val="0"/>
    <w:pPr>
      <w:widowControl/>
      <w:pBdr>
        <w:left w:val="single" w:color="auto" w:sz="4" w:space="0"/>
        <w:bottom w:val="single" w:color="auto" w:sz="4" w:space="0"/>
      </w:pBdr>
      <w:spacing w:before="100" w:beforeAutospacing="1" w:after="100" w:afterAutospacing="1"/>
      <w:jc w:val="center"/>
      <w:textAlignment w:val="center"/>
    </w:pPr>
    <w:rPr>
      <w:rFonts w:ascii="Times New Roman" w:hAnsi="Times New Roman"/>
      <w:kern w:val="0"/>
      <w:sz w:val="20"/>
      <w:szCs w:val="20"/>
    </w:rPr>
  </w:style>
  <w:style w:type="paragraph" w:customStyle="1" w:styleId="204">
    <w:name w:val="xl69"/>
    <w:basedOn w:val="1"/>
    <w:uiPriority w:val="0"/>
    <w:pPr>
      <w:widowControl/>
      <w:pBdr>
        <w:bottom w:val="single" w:color="auto" w:sz="4" w:space="0"/>
        <w:right w:val="single" w:color="auto" w:sz="4" w:space="0"/>
      </w:pBdr>
      <w:spacing w:before="100" w:beforeAutospacing="1" w:after="100" w:afterAutospacing="1"/>
      <w:jc w:val="right"/>
      <w:textAlignment w:val="center"/>
    </w:pPr>
    <w:rPr>
      <w:rFonts w:ascii="宋体" w:hAnsi="宋体"/>
      <w:kern w:val="0"/>
      <w:sz w:val="20"/>
      <w:szCs w:val="20"/>
    </w:rPr>
  </w:style>
  <w:style w:type="paragraph" w:customStyle="1" w:styleId="205">
    <w:name w:val="xl70"/>
    <w:basedOn w:val="1"/>
    <w:uiPriority w:val="0"/>
    <w:pPr>
      <w:widowControl/>
      <w:pBdr>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kern w:val="0"/>
      <w:sz w:val="20"/>
      <w:szCs w:val="20"/>
    </w:rPr>
  </w:style>
  <w:style w:type="paragraph" w:customStyle="1" w:styleId="206">
    <w:name w:val="pa-1"/>
    <w:basedOn w:val="1"/>
    <w:uiPriority w:val="0"/>
    <w:pPr>
      <w:widowControl/>
      <w:spacing w:line="340" w:lineRule="atLeast"/>
      <w:jc w:val="left"/>
    </w:pPr>
    <w:rPr>
      <w:rFonts w:ascii="宋体" w:hAnsi="宋体" w:cs="宋体"/>
      <w:kern w:val="0"/>
      <w:sz w:val="24"/>
      <w:szCs w:val="24"/>
    </w:rPr>
  </w:style>
  <w:style w:type="paragraph" w:customStyle="1" w:styleId="207">
    <w:name w:val="列出段落11"/>
    <w:basedOn w:val="1"/>
    <w:uiPriority w:val="0"/>
    <w:pPr>
      <w:ind w:firstLine="420" w:firstLineChars="200"/>
    </w:pPr>
  </w:style>
  <w:style w:type="paragraph" w:customStyle="1" w:styleId="208">
    <w:name w:val="样式 正文文本 2正文文字 2 + 宋体 黑色 首行缩进:  0.95 厘米 段后: 0 磅 行距: 1.5 倍行距"/>
    <w:basedOn w:val="38"/>
    <w:uiPriority w:val="0"/>
  </w:style>
  <w:style w:type="paragraph" w:customStyle="1" w:styleId="209">
    <w:name w:val="ISS_Normal1"/>
    <w:basedOn w:val="1"/>
    <w:uiPriority w:val="0"/>
    <w:pPr>
      <w:spacing w:afterLines="50"/>
      <w:ind w:firstLine="200" w:firstLineChars="200"/>
    </w:pPr>
    <w:rPr>
      <w:rFonts w:ascii="Tahoma" w:hAnsi="Tahoma"/>
      <w:szCs w:val="24"/>
    </w:rPr>
  </w:style>
  <w:style w:type="paragraph" w:customStyle="1" w:styleId="210">
    <w:name w:val="Defaul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customStyle="1" w:styleId="211">
    <w:name w:val="样式 宋体 小四 行距: 固定值 24 磅"/>
    <w:basedOn w:val="1"/>
    <w:uiPriority w:val="0"/>
    <w:pPr>
      <w:spacing w:line="480" w:lineRule="exact"/>
      <w:ind w:firstLine="438" w:firstLineChars="200"/>
    </w:pPr>
    <w:rPr>
      <w:rFonts w:ascii="宋体" w:hAnsi="Times New Roman" w:cs="宋体"/>
      <w:sz w:val="24"/>
      <w:szCs w:val="20"/>
    </w:rPr>
  </w:style>
  <w:style w:type="paragraph" w:customStyle="1" w:styleId="212">
    <w:name w:val="Char1"/>
    <w:basedOn w:val="1"/>
    <w:uiPriority w:val="0"/>
    <w:rPr>
      <w:rFonts w:ascii="Times New Roman" w:hAnsi="Times New Roman"/>
      <w:szCs w:val="24"/>
    </w:rPr>
  </w:style>
  <w:style w:type="paragraph" w:customStyle="1" w:styleId="213">
    <w:name w:val="Body Text 21"/>
    <w:basedOn w:val="1"/>
    <w:uiPriority w:val="0"/>
    <w:pPr>
      <w:adjustRightInd w:val="0"/>
      <w:spacing w:after="120" w:line="440" w:lineRule="atLeast"/>
      <w:ind w:left="360"/>
      <w:jc w:val="left"/>
      <w:textAlignment w:val="baseline"/>
    </w:pPr>
    <w:rPr>
      <w:rFonts w:ascii="MingLiU" w:hAnsi="MingLiU" w:eastAsia="MingLiU" w:cs="宋体"/>
      <w:color w:val="000000"/>
      <w:kern w:val="0"/>
      <w:sz w:val="22"/>
      <w:szCs w:val="20"/>
      <w:lang w:eastAsia="zh-TW"/>
    </w:rPr>
  </w:style>
  <w:style w:type="paragraph" w:customStyle="1" w:styleId="214">
    <w:name w:val="p0"/>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15">
    <w:name w:val="正文表标题"/>
    <w:next w:val="1"/>
    <w:uiPriority w:val="0"/>
    <w:pPr>
      <w:tabs>
        <w:tab w:val="left" w:pos="360"/>
      </w:tabs>
      <w:ind w:left="360" w:hanging="360"/>
      <w:jc w:val="center"/>
    </w:pPr>
    <w:rPr>
      <w:rFonts w:ascii="黑体" w:hAnsi="Times New Roman" w:eastAsia="黑体" w:cs="黑体"/>
      <w:sz w:val="21"/>
      <w:szCs w:val="21"/>
      <w:lang w:val="en-US" w:eastAsia="zh-CN" w:bidi="ar-SA"/>
    </w:rPr>
  </w:style>
  <w:style w:type="paragraph" w:customStyle="1" w:styleId="216">
    <w:name w:val="标题 21"/>
    <w:basedOn w:val="97"/>
    <w:next w:val="1"/>
    <w:uiPriority w:val="0"/>
    <w:pPr>
      <w:keepNext/>
      <w:keepLines/>
      <w:spacing w:before="260" w:after="260" w:line="415" w:lineRule="auto"/>
    </w:pPr>
    <w:rPr>
      <w:rFonts w:ascii="Cambria" w:hAnsi="Cambria" w:eastAsia="Cambria"/>
      <w:b/>
      <w:sz w:val="32"/>
    </w:rPr>
  </w:style>
  <w:style w:type="paragraph" w:customStyle="1" w:styleId="217">
    <w:name w:val="正文文本缩进 31"/>
    <w:basedOn w:val="97"/>
    <w:uiPriority w:val="0"/>
    <w:pPr>
      <w:spacing w:after="120"/>
      <w:ind w:left="420"/>
    </w:pPr>
    <w:rPr>
      <w:sz w:val="16"/>
    </w:rPr>
  </w:style>
  <w:style w:type="paragraph" w:customStyle="1" w:styleId="218">
    <w:name w:val="纯文本2"/>
    <w:basedOn w:val="97"/>
    <w:uiPriority w:val="0"/>
    <w:rPr>
      <w:rFonts w:ascii="宋体" w:hAnsi="宋体" w:eastAsia="宋体"/>
      <w:sz w:val="20"/>
    </w:rPr>
  </w:style>
  <w:style w:type="paragraph" w:customStyle="1" w:styleId="219">
    <w:name w:val="普通(网站)2"/>
    <w:basedOn w:val="1"/>
    <w:qFormat/>
    <w:uiPriority w:val="0"/>
    <w:pPr>
      <w:widowControl/>
      <w:spacing w:before="100" w:beforeAutospacing="1" w:after="100" w:afterAutospacing="1" w:line="440" w:lineRule="atLeast"/>
      <w:jc w:val="left"/>
    </w:pPr>
    <w:rPr>
      <w:rFonts w:ascii="宋体" w:hAnsi="宋体"/>
      <w:color w:val="000000"/>
      <w:kern w:val="0"/>
      <w:sz w:val="30"/>
      <w:szCs w:val="30"/>
    </w:rPr>
  </w:style>
  <w:style w:type="paragraph" w:customStyle="1" w:styleId="220">
    <w:name w:val="纯文本3"/>
    <w:basedOn w:val="1"/>
    <w:qFormat/>
    <w:uiPriority w:val="0"/>
    <w:rPr>
      <w:rFonts w:ascii="宋体" w:hAnsi="Courier New" w:cs="Courier New"/>
      <w:szCs w:val="21"/>
    </w:rPr>
  </w:style>
  <w:style w:type="character" w:customStyle="1" w:styleId="221">
    <w:name w:val="不明显强调11"/>
    <w:qFormat/>
    <w:uiPriority w:val="19"/>
    <w:rPr>
      <w:i/>
      <w:iCs/>
      <w:color w:val="808080"/>
    </w:rPr>
  </w:style>
  <w:style w:type="character" w:customStyle="1" w:styleId="222">
    <w:name w:val="明显强调11"/>
    <w:qFormat/>
    <w:uiPriority w:val="21"/>
    <w:rPr>
      <w:b/>
      <w:bCs/>
      <w:i/>
      <w:iCs/>
      <w:color w:val="4F81BD"/>
    </w:rPr>
  </w:style>
  <w:style w:type="character" w:customStyle="1" w:styleId="223">
    <w:name w:val="标题 4 Char1"/>
    <w:basedOn w:val="45"/>
    <w:uiPriority w:val="0"/>
    <w:rPr>
      <w:rFonts w:ascii="黑体" w:hAnsi="Times New Roman" w:eastAsia="黑体" w:cs="Times New Roman"/>
      <w:b/>
      <w:szCs w:val="24"/>
    </w:rPr>
  </w:style>
  <w:style w:type="character" w:customStyle="1" w:styleId="224">
    <w:name w:val="纯文本 Char3"/>
    <w:basedOn w:val="45"/>
    <w:uiPriority w:val="0"/>
    <w:rPr>
      <w:rFonts w:ascii="宋体" w:hAnsi="Courier New" w:eastAsia="宋体" w:cs="Courier New"/>
      <w:szCs w:val="21"/>
    </w:rPr>
  </w:style>
  <w:style w:type="character" w:customStyle="1" w:styleId="225">
    <w:name w:val="普通文字 Char2"/>
    <w:basedOn w:val="45"/>
    <w:uiPriority w:val="0"/>
    <w:rPr>
      <w:rFonts w:ascii="宋体" w:hAnsi="Courier New" w:eastAsia="宋体" w:cs="Courier New"/>
      <w:kern w:val="2"/>
      <w:sz w:val="21"/>
      <w:szCs w:val="21"/>
      <w:lang w:val="en-US" w:eastAsia="zh-CN" w:bidi="ar-SA"/>
    </w:rPr>
  </w:style>
  <w:style w:type="character" w:customStyle="1" w:styleId="226">
    <w:name w:val="z101"/>
    <w:basedOn w:val="45"/>
    <w:uiPriority w:val="0"/>
    <w:rPr>
      <w:spacing w:val="384"/>
      <w:sz w:val="24"/>
      <w:szCs w:val="24"/>
    </w:rPr>
  </w:style>
  <w:style w:type="character" w:customStyle="1" w:styleId="227">
    <w:name w:val="Char Char Char"/>
    <w:basedOn w:val="45"/>
    <w:uiPriority w:val="0"/>
    <w:rPr>
      <w:rFonts w:ascii="Arial" w:hAnsi="Arial" w:eastAsia="黑体"/>
      <w:b/>
      <w:bCs/>
      <w:kern w:val="2"/>
      <w:sz w:val="32"/>
      <w:szCs w:val="32"/>
      <w:lang w:val="en-US" w:eastAsia="zh-CN" w:bidi="ar-SA"/>
    </w:rPr>
  </w:style>
  <w:style w:type="character" w:customStyle="1" w:styleId="228">
    <w:name w:val="Head 13 Char"/>
    <w:basedOn w:val="45"/>
    <w:uiPriority w:val="0"/>
    <w:rPr>
      <w:rFonts w:ascii="宋体" w:hAnsi="宋体" w:eastAsia="宋体" w:cs="宋体"/>
      <w:b/>
      <w:bCs/>
      <w:kern w:val="36"/>
      <w:sz w:val="48"/>
      <w:szCs w:val="48"/>
      <w:lang w:val="en-US" w:eastAsia="zh-CN" w:bidi="ar-SA"/>
    </w:rPr>
  </w:style>
  <w:style w:type="character" w:customStyle="1" w:styleId="229">
    <w:name w:val="样式 标题 1合同标题章标题 1 Char Char标题 1 Char第1章第1章 Char卷标题标题 1 1...1 Char"/>
    <w:basedOn w:val="45"/>
    <w:uiPriority w:val="0"/>
    <w:rPr>
      <w:rFonts w:ascii="宋体" w:hAnsi="宋体" w:eastAsia="宋体" w:cs="宋体"/>
      <w:b/>
      <w:bCs/>
      <w:kern w:val="36"/>
      <w:sz w:val="28"/>
      <w:szCs w:val="48"/>
      <w:lang w:val="en-US" w:eastAsia="zh-CN" w:bidi="ar-SA"/>
    </w:rPr>
  </w:style>
  <w:style w:type="character" w:customStyle="1" w:styleId="230">
    <w:name w:val="style51"/>
    <w:basedOn w:val="45"/>
    <w:uiPriority w:val="0"/>
    <w:rPr>
      <w:sz w:val="18"/>
      <w:szCs w:val="18"/>
    </w:rPr>
  </w:style>
  <w:style w:type="character" w:customStyle="1" w:styleId="231">
    <w:name w:val="word2"/>
    <w:basedOn w:val="45"/>
    <w:uiPriority w:val="0"/>
    <w:rPr>
      <w:rFonts w:hint="eastAsia" w:ascii="新宋体" w:hAnsi="新宋体" w:eastAsia="新宋体"/>
      <w:color w:val="000000"/>
      <w:sz w:val="18"/>
      <w:szCs w:val="18"/>
    </w:rPr>
  </w:style>
  <w:style w:type="character" w:customStyle="1" w:styleId="232">
    <w:name w:val="a71"/>
    <w:basedOn w:val="45"/>
    <w:uiPriority w:val="0"/>
    <w:rPr>
      <w:rFonts w:hint="eastAsia" w:ascii="宋体" w:hAnsi="宋体" w:eastAsia="宋体"/>
      <w:color w:val="333333"/>
      <w:sz w:val="18"/>
      <w:szCs w:val="18"/>
      <w:u w:val="none"/>
    </w:rPr>
  </w:style>
  <w:style w:type="character" w:customStyle="1" w:styleId="233">
    <w:name w:val="javascript"/>
    <w:basedOn w:val="45"/>
    <w:uiPriority w:val="0"/>
  </w:style>
  <w:style w:type="character" w:customStyle="1" w:styleId="234">
    <w:name w:val="big1"/>
    <w:basedOn w:val="45"/>
    <w:uiPriority w:val="0"/>
    <w:rPr>
      <w:color w:val="222222"/>
      <w:sz w:val="21"/>
      <w:szCs w:val="21"/>
      <w:u w:val="none"/>
    </w:rPr>
  </w:style>
  <w:style w:type="character" w:customStyle="1" w:styleId="235">
    <w:name w:val="bi1"/>
    <w:basedOn w:val="45"/>
    <w:uiPriority w:val="0"/>
    <w:rPr>
      <w:spacing w:val="400"/>
      <w:sz w:val="21"/>
      <w:szCs w:val="21"/>
    </w:rPr>
  </w:style>
  <w:style w:type="character" w:customStyle="1" w:styleId="236">
    <w:name w:val="style1"/>
    <w:basedOn w:val="45"/>
    <w:uiPriority w:val="0"/>
  </w:style>
  <w:style w:type="character" w:customStyle="1" w:styleId="237">
    <w:name w:val="textcontents1"/>
    <w:basedOn w:val="45"/>
    <w:uiPriority w:val="0"/>
    <w:rPr>
      <w:color w:val="000000"/>
      <w:spacing w:val="360"/>
      <w:sz w:val="18"/>
      <w:szCs w:val="18"/>
    </w:rPr>
  </w:style>
  <w:style w:type="character" w:customStyle="1" w:styleId="238">
    <w:name w:val="t_tag"/>
    <w:basedOn w:val="45"/>
    <w:uiPriority w:val="0"/>
  </w:style>
  <w:style w:type="character" w:customStyle="1" w:styleId="239">
    <w:name w:val="标题 1 Char1"/>
    <w:basedOn w:val="45"/>
    <w:uiPriority w:val="0"/>
    <w:rPr>
      <w:rFonts w:ascii="黑体" w:hAnsi="Times New Roman" w:eastAsia="黑体" w:cs="Times New Roman"/>
      <w:b/>
      <w:sz w:val="32"/>
      <w:szCs w:val="20"/>
    </w:rPr>
  </w:style>
  <w:style w:type="character" w:customStyle="1" w:styleId="240">
    <w:name w:val="Char Char8"/>
    <w:basedOn w:val="45"/>
    <w:uiPriority w:val="0"/>
    <w:rPr>
      <w:rFonts w:eastAsia="宋体"/>
      <w:b/>
      <w:kern w:val="2"/>
      <w:sz w:val="28"/>
      <w:lang w:val="en-US" w:eastAsia="zh-CN" w:bidi="ar-SA"/>
    </w:rPr>
  </w:style>
  <w:style w:type="character" w:customStyle="1" w:styleId="241">
    <w:name w:val="Char Char9"/>
    <w:basedOn w:val="45"/>
    <w:qFormat/>
    <w:uiPriority w:val="0"/>
    <w:rPr>
      <w:b/>
      <w:kern w:val="2"/>
      <w:sz w:val="28"/>
    </w:rPr>
  </w:style>
  <w:style w:type="character" w:customStyle="1" w:styleId="242">
    <w:name w:val="font2"/>
    <w:basedOn w:val="45"/>
    <w:uiPriority w:val="0"/>
  </w:style>
  <w:style w:type="character" w:customStyle="1" w:styleId="243">
    <w:name w:val="普通文字 Char Char"/>
    <w:basedOn w:val="45"/>
    <w:uiPriority w:val="0"/>
    <w:rPr>
      <w:rFonts w:ascii="宋体" w:hAnsi="Courier New" w:eastAsia="宋体" w:cs="Courier New"/>
      <w:kern w:val="2"/>
      <w:sz w:val="21"/>
      <w:szCs w:val="21"/>
      <w:lang w:val="en-US" w:eastAsia="zh-CN" w:bidi="ar-SA"/>
    </w:rPr>
  </w:style>
  <w:style w:type="character" w:customStyle="1" w:styleId="244">
    <w:name w:val="c lh15"/>
    <w:basedOn w:val="45"/>
    <w:uiPriority w:val="0"/>
  </w:style>
  <w:style w:type="character" w:customStyle="1" w:styleId="245">
    <w:name w:val="gray s"/>
    <w:basedOn w:val="45"/>
    <w:uiPriority w:val="0"/>
  </w:style>
  <w:style w:type="character" w:customStyle="1" w:styleId="246">
    <w:name w:val="f141"/>
    <w:basedOn w:val="45"/>
    <w:qFormat/>
    <w:uiPriority w:val="0"/>
    <w:rPr>
      <w:color w:val="000000"/>
      <w:sz w:val="21"/>
      <w:szCs w:val="21"/>
    </w:rPr>
  </w:style>
  <w:style w:type="character" w:customStyle="1" w:styleId="247">
    <w:name w:val="bigfont"/>
    <w:basedOn w:val="45"/>
    <w:uiPriority w:val="0"/>
  </w:style>
  <w:style w:type="character" w:customStyle="1" w:styleId="248">
    <w:name w:val="textcontents"/>
    <w:basedOn w:val="45"/>
    <w:uiPriority w:val="0"/>
  </w:style>
  <w:style w:type="character" w:customStyle="1" w:styleId="249">
    <w:name w:val="标题 2 Char1"/>
    <w:basedOn w:val="45"/>
    <w:uiPriority w:val="0"/>
    <w:rPr>
      <w:rFonts w:ascii="Arial" w:hAnsi="Arial" w:eastAsia="黑体"/>
      <w:b/>
      <w:kern w:val="2"/>
      <w:sz w:val="32"/>
      <w:lang w:val="en-US" w:eastAsia="zh-CN" w:bidi="ar-SA"/>
    </w:rPr>
  </w:style>
  <w:style w:type="character" w:customStyle="1" w:styleId="250">
    <w:name w:val="y1"/>
    <w:basedOn w:val="45"/>
    <w:qFormat/>
    <w:uiPriority w:val="0"/>
  </w:style>
  <w:style w:type="character" w:customStyle="1" w:styleId="251">
    <w:name w:val="ggwenhao"/>
    <w:basedOn w:val="45"/>
    <w:qFormat/>
    <w:uiPriority w:val="0"/>
  </w:style>
  <w:style w:type="character" w:customStyle="1" w:styleId="252">
    <w:name w:val="ggtitle"/>
    <w:basedOn w:val="45"/>
    <w:uiPriority w:val="0"/>
  </w:style>
  <w:style w:type="character" w:customStyle="1" w:styleId="253">
    <w:name w:val="bluetxt1"/>
    <w:basedOn w:val="45"/>
    <w:uiPriority w:val="0"/>
  </w:style>
  <w:style w:type="character" w:customStyle="1" w:styleId="254">
    <w:name w:val="Char Char Char1"/>
    <w:qFormat/>
    <w:uiPriority w:val="0"/>
    <w:rPr>
      <w:rFonts w:ascii="Arial" w:hAnsi="Arial" w:eastAsia="黑体"/>
      <w:b/>
      <w:kern w:val="2"/>
      <w:sz w:val="32"/>
      <w:lang w:val="en-US" w:eastAsia="zh-CN"/>
    </w:rPr>
  </w:style>
  <w:style w:type="character" w:customStyle="1" w:styleId="255">
    <w:name w:val="标题 4 Char Char"/>
    <w:uiPriority w:val="0"/>
    <w:rPr>
      <w:rFonts w:ascii="黑体" w:eastAsia="黑体"/>
      <w:b/>
      <w:kern w:val="2"/>
      <w:sz w:val="21"/>
      <w:szCs w:val="24"/>
      <w:lang w:val="en-US" w:eastAsia="zh-CN" w:bidi="ar-SA"/>
    </w:rPr>
  </w:style>
  <w:style w:type="paragraph" w:customStyle="1" w:styleId="256">
    <w:name w:val="标题2"/>
    <w:basedOn w:val="1"/>
    <w:uiPriority w:val="0"/>
    <w:pPr>
      <w:numPr>
        <w:ilvl w:val="1"/>
        <w:numId w:val="2"/>
      </w:numPr>
      <w:spacing w:line="360" w:lineRule="auto"/>
    </w:pPr>
    <w:rPr>
      <w:rFonts w:ascii="Times New Roman" w:hAnsi="Times New Roman"/>
      <w:b/>
      <w:sz w:val="24"/>
      <w:szCs w:val="24"/>
    </w:rPr>
  </w:style>
  <w:style w:type="paragraph" w:customStyle="1" w:styleId="257">
    <w:name w:val="Char1 Char Char Char1"/>
    <w:basedOn w:val="13"/>
    <w:qFormat/>
    <w:uiPriority w:val="0"/>
    <w:pPr>
      <w:shd w:val="clear" w:color="auto" w:fill="000080"/>
      <w:adjustRightInd w:val="0"/>
      <w:spacing w:line="436" w:lineRule="exact"/>
      <w:ind w:left="357"/>
      <w:jc w:val="left"/>
      <w:outlineLvl w:val="3"/>
    </w:pPr>
    <w:rPr>
      <w:rFonts w:ascii="Tahoma" w:hAnsi="Tahoma"/>
      <w:b/>
      <w:sz w:val="24"/>
      <w:szCs w:val="24"/>
    </w:rPr>
  </w:style>
  <w:style w:type="paragraph" w:customStyle="1" w:styleId="258">
    <w:name w:val="正文文本 23"/>
    <w:basedOn w:val="1"/>
    <w:uiPriority w:val="0"/>
    <w:pPr>
      <w:adjustRightInd w:val="0"/>
      <w:spacing w:after="120"/>
      <w:ind w:left="360"/>
      <w:jc w:val="left"/>
      <w:textAlignment w:val="baseline"/>
    </w:pPr>
    <w:rPr>
      <w:rFonts w:ascii="MingLiU" w:hAnsi="Times New Roman" w:eastAsia="MingLiU"/>
      <w:kern w:val="0"/>
      <w:sz w:val="22"/>
      <w:szCs w:val="20"/>
      <w:lang w:val="en-GB" w:eastAsia="zh-TW"/>
    </w:rPr>
  </w:style>
  <w:style w:type="paragraph" w:customStyle="1" w:styleId="259">
    <w:name w:val="Char2"/>
    <w:basedOn w:val="1"/>
    <w:uiPriority w:val="0"/>
    <w:pPr>
      <w:tabs>
        <w:tab w:val="left" w:pos="360"/>
      </w:tabs>
    </w:pPr>
    <w:rPr>
      <w:rFonts w:ascii="Times New Roman" w:hAnsi="Times New Roman"/>
      <w:sz w:val="24"/>
      <w:szCs w:val="24"/>
    </w:rPr>
  </w:style>
  <w:style w:type="paragraph" w:customStyle="1" w:styleId="260">
    <w:name w:val="Char Char Char Char Char Char Char1"/>
    <w:basedOn w:val="1"/>
    <w:uiPriority w:val="0"/>
    <w:pPr>
      <w:ind w:left="-96" w:leftChars="-40"/>
      <w:jc w:val="center"/>
    </w:pPr>
    <w:rPr>
      <w:rFonts w:ascii="宋体" w:hAnsi="宋体"/>
      <w:sz w:val="24"/>
      <w:szCs w:val="24"/>
    </w:rPr>
  </w:style>
  <w:style w:type="paragraph" w:customStyle="1" w:styleId="261">
    <w:name w:val="纯文本4"/>
    <w:basedOn w:val="1"/>
    <w:uiPriority w:val="0"/>
    <w:pPr>
      <w:adjustRightInd w:val="0"/>
      <w:jc w:val="left"/>
      <w:textAlignment w:val="baseline"/>
    </w:pPr>
    <w:rPr>
      <w:rFonts w:ascii="宋体" w:hAnsi="Courier (W1)"/>
      <w:sz w:val="24"/>
      <w:szCs w:val="24"/>
    </w:rPr>
  </w:style>
  <w:style w:type="character" w:customStyle="1" w:styleId="262">
    <w:name w:val="正文文本 3 字符"/>
    <w:basedOn w:val="45"/>
    <w:link w:val="15"/>
    <w:qFormat/>
    <w:uiPriority w:val="0"/>
    <w:rPr>
      <w:rFonts w:ascii="Times New Roman" w:hAnsi="Times New Roman" w:eastAsia="宋体" w:cs="Times New Roman"/>
      <w:sz w:val="16"/>
      <w:szCs w:val="16"/>
    </w:rPr>
  </w:style>
  <w:style w:type="paragraph" w:customStyle="1" w:styleId="263">
    <w:name w:val="第三级"/>
    <w:basedOn w:val="4"/>
    <w:link w:val="264"/>
    <w:qFormat/>
    <w:uiPriority w:val="0"/>
    <w:pPr>
      <w:numPr>
        <w:ilvl w:val="0"/>
        <w:numId w:val="0"/>
      </w:numPr>
      <w:spacing w:before="260" w:after="260" w:line="416" w:lineRule="auto"/>
      <w:ind w:left="340"/>
    </w:pPr>
    <w:rPr>
      <w:rFonts w:ascii="Times New Roman" w:hAnsi="Times New Roman"/>
      <w:b/>
      <w:bCs/>
      <w:sz w:val="28"/>
    </w:rPr>
  </w:style>
  <w:style w:type="character" w:customStyle="1" w:styleId="264">
    <w:name w:val="第三级 Char"/>
    <w:link w:val="263"/>
    <w:qFormat/>
    <w:uiPriority w:val="0"/>
    <w:rPr>
      <w:rFonts w:ascii="Times New Roman" w:hAnsi="Times New Roman" w:eastAsia="宋体" w:cs="Times New Roman"/>
      <w:b/>
      <w:bCs/>
      <w:sz w:val="28"/>
      <w:szCs w:val="32"/>
    </w:rPr>
  </w:style>
  <w:style w:type="paragraph" w:customStyle="1" w:styleId="265">
    <w:name w:val="第四级"/>
    <w:basedOn w:val="5"/>
    <w:link w:val="266"/>
    <w:qFormat/>
    <w:uiPriority w:val="0"/>
    <w:pPr>
      <w:keepLines/>
      <w:numPr>
        <w:numId w:val="0"/>
      </w:numPr>
      <w:tabs>
        <w:tab w:val="left" w:pos="567"/>
      </w:tabs>
      <w:spacing w:before="280" w:after="290" w:line="376" w:lineRule="auto"/>
    </w:pPr>
    <w:rPr>
      <w:rFonts w:ascii="Cambria" w:hAnsi="Cambria" w:eastAsia="宋体"/>
      <w:bCs/>
      <w:sz w:val="24"/>
      <w:szCs w:val="28"/>
    </w:rPr>
  </w:style>
  <w:style w:type="character" w:customStyle="1" w:styleId="266">
    <w:name w:val="第四级 Char"/>
    <w:link w:val="265"/>
    <w:qFormat/>
    <w:uiPriority w:val="0"/>
    <w:rPr>
      <w:rFonts w:ascii="Cambria" w:hAnsi="Cambria" w:eastAsia="宋体" w:cs="Times New Roman"/>
      <w:b/>
      <w:bCs/>
      <w:sz w:val="24"/>
      <w:szCs w:val="28"/>
    </w:rPr>
  </w:style>
  <w:style w:type="paragraph" w:customStyle="1" w:styleId="267">
    <w:name w:val="图片"/>
    <w:basedOn w:val="1"/>
    <w:link w:val="268"/>
    <w:qFormat/>
    <w:uiPriority w:val="0"/>
    <w:pPr>
      <w:spacing w:line="360" w:lineRule="auto"/>
      <w:jc w:val="center"/>
    </w:pPr>
    <w:rPr>
      <w:rFonts w:ascii="Times New Roman" w:hAnsi="Times New Roman"/>
      <w:sz w:val="24"/>
      <w:szCs w:val="20"/>
    </w:rPr>
  </w:style>
  <w:style w:type="character" w:customStyle="1" w:styleId="268">
    <w:name w:val="图片 Char"/>
    <w:link w:val="267"/>
    <w:uiPriority w:val="0"/>
    <w:rPr>
      <w:rFonts w:ascii="Times New Roman" w:hAnsi="Times New Roman" w:eastAsia="宋体" w:cs="Times New Roman"/>
      <w:sz w:val="24"/>
      <w:szCs w:val="20"/>
    </w:rPr>
  </w:style>
  <w:style w:type="paragraph" w:customStyle="1" w:styleId="269">
    <w:name w:val="第五级"/>
    <w:basedOn w:val="1"/>
    <w:link w:val="270"/>
    <w:qFormat/>
    <w:uiPriority w:val="0"/>
    <w:pPr>
      <w:keepNext/>
      <w:keepLines/>
      <w:spacing w:before="280" w:after="290" w:line="376" w:lineRule="auto"/>
      <w:outlineLvl w:val="4"/>
    </w:pPr>
    <w:rPr>
      <w:rFonts w:ascii="Cambria" w:hAnsi="Cambria"/>
      <w:b/>
      <w:bCs/>
      <w:sz w:val="24"/>
      <w:szCs w:val="28"/>
    </w:rPr>
  </w:style>
  <w:style w:type="character" w:customStyle="1" w:styleId="270">
    <w:name w:val="第五级 Char"/>
    <w:link w:val="269"/>
    <w:qFormat/>
    <w:uiPriority w:val="0"/>
    <w:rPr>
      <w:rFonts w:ascii="Cambria" w:hAnsi="Cambria" w:eastAsia="宋体" w:cs="Times New Roman"/>
      <w:b/>
      <w:bCs/>
      <w:sz w:val="24"/>
      <w:szCs w:val="28"/>
    </w:rPr>
  </w:style>
  <w:style w:type="paragraph" w:customStyle="1" w:styleId="271">
    <w:name w:val="样式 首行缩进:  0 字符"/>
    <w:basedOn w:val="1"/>
    <w:qFormat/>
    <w:uiPriority w:val="0"/>
    <w:pPr>
      <w:spacing w:line="360" w:lineRule="auto"/>
      <w:ind w:firstLine="200" w:firstLineChars="200"/>
    </w:pPr>
    <w:rPr>
      <w:rFonts w:ascii="Times New Roman" w:hAnsi="Times New Roman" w:cs="宋体"/>
      <w:sz w:val="24"/>
      <w:szCs w:val="20"/>
    </w:rPr>
  </w:style>
  <w:style w:type="character" w:customStyle="1" w:styleId="272">
    <w:name w:val="apple-converted-space"/>
    <w:qFormat/>
    <w:uiPriority w:val="0"/>
  </w:style>
</w:styles>
</file>

<file path=word/_rels/document.xml.rels><?xml version="1.0" encoding="UTF-8" standalone="yes"?>
<Relationships xmlns="http://schemas.openxmlformats.org/package/2006/relationships"><Relationship Id="rId99" Type="http://schemas.openxmlformats.org/officeDocument/2006/relationships/fontTable" Target="fontTable.xml"/><Relationship Id="rId98" Type="http://schemas.openxmlformats.org/officeDocument/2006/relationships/numbering" Target="numbering.xml"/><Relationship Id="rId97" Type="http://schemas.openxmlformats.org/officeDocument/2006/relationships/customXml" Target="../customXml/item1.xml"/><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jpeg"/><Relationship Id="rId90" Type="http://schemas.openxmlformats.org/officeDocument/2006/relationships/image" Target="media/image87.jpeg"/><Relationship Id="rId9" Type="http://schemas.openxmlformats.org/officeDocument/2006/relationships/image" Target="media/image6.jpeg"/><Relationship Id="rId89" Type="http://schemas.openxmlformats.org/officeDocument/2006/relationships/image" Target="media/image86.jpeg"/><Relationship Id="rId88" Type="http://schemas.openxmlformats.org/officeDocument/2006/relationships/image" Target="media/image85.jpeg"/><Relationship Id="rId87" Type="http://schemas.openxmlformats.org/officeDocument/2006/relationships/image" Target="media/image84.jpeg"/><Relationship Id="rId86" Type="http://schemas.openxmlformats.org/officeDocument/2006/relationships/image" Target="media/image83.jpeg"/><Relationship Id="rId85" Type="http://schemas.openxmlformats.org/officeDocument/2006/relationships/image" Target="media/image82.jpeg"/><Relationship Id="rId84" Type="http://schemas.openxmlformats.org/officeDocument/2006/relationships/image" Target="media/image81.jpeg"/><Relationship Id="rId83" Type="http://schemas.openxmlformats.org/officeDocument/2006/relationships/image" Target="media/image80.jpeg"/><Relationship Id="rId82" Type="http://schemas.openxmlformats.org/officeDocument/2006/relationships/image" Target="media/image79.jpeg"/><Relationship Id="rId81" Type="http://schemas.openxmlformats.org/officeDocument/2006/relationships/image" Target="media/image78.jpeg"/><Relationship Id="rId80" Type="http://schemas.openxmlformats.org/officeDocument/2006/relationships/image" Target="media/image77.jpeg"/><Relationship Id="rId8" Type="http://schemas.openxmlformats.org/officeDocument/2006/relationships/image" Target="media/image5.jpeg"/><Relationship Id="rId79" Type="http://schemas.openxmlformats.org/officeDocument/2006/relationships/image" Target="media/image76.jpeg"/><Relationship Id="rId78" Type="http://schemas.openxmlformats.org/officeDocument/2006/relationships/image" Target="media/image75.jpeg"/><Relationship Id="rId77" Type="http://schemas.openxmlformats.org/officeDocument/2006/relationships/image" Target="media/image74.jpeg"/><Relationship Id="rId76" Type="http://schemas.openxmlformats.org/officeDocument/2006/relationships/image" Target="media/image73.jpeg"/><Relationship Id="rId75" Type="http://schemas.openxmlformats.org/officeDocument/2006/relationships/image" Target="media/image72.jpeg"/><Relationship Id="rId74" Type="http://schemas.openxmlformats.org/officeDocument/2006/relationships/image" Target="media/image71.jpeg"/><Relationship Id="rId73" Type="http://schemas.openxmlformats.org/officeDocument/2006/relationships/image" Target="media/image70.jpeg"/><Relationship Id="rId72" Type="http://schemas.openxmlformats.org/officeDocument/2006/relationships/image" Target="media/image69.jpeg"/><Relationship Id="rId71" Type="http://schemas.openxmlformats.org/officeDocument/2006/relationships/image" Target="media/image68.jpeg"/><Relationship Id="rId70" Type="http://schemas.openxmlformats.org/officeDocument/2006/relationships/image" Target="media/image67.emf"/><Relationship Id="rId7" Type="http://schemas.openxmlformats.org/officeDocument/2006/relationships/image" Target="media/image4.jpeg"/><Relationship Id="rId69" Type="http://schemas.openxmlformats.org/officeDocument/2006/relationships/image" Target="media/image66.jpeg"/><Relationship Id="rId68" Type="http://schemas.openxmlformats.org/officeDocument/2006/relationships/image" Target="media/image65.jpeg"/><Relationship Id="rId67" Type="http://schemas.openxmlformats.org/officeDocument/2006/relationships/image" Target="media/image64.jpeg"/><Relationship Id="rId66" Type="http://schemas.openxmlformats.org/officeDocument/2006/relationships/image" Target="media/image63.jpeg"/><Relationship Id="rId65" Type="http://schemas.openxmlformats.org/officeDocument/2006/relationships/image" Target="media/image62.jpeg"/><Relationship Id="rId64" Type="http://schemas.openxmlformats.org/officeDocument/2006/relationships/image" Target="media/image61.jpeg"/><Relationship Id="rId63" Type="http://schemas.openxmlformats.org/officeDocument/2006/relationships/image" Target="media/image60.jpeg"/><Relationship Id="rId62" Type="http://schemas.openxmlformats.org/officeDocument/2006/relationships/image" Target="media/image59.jpeg"/><Relationship Id="rId61" Type="http://schemas.openxmlformats.org/officeDocument/2006/relationships/image" Target="media/image58.jpeg"/><Relationship Id="rId60" Type="http://schemas.openxmlformats.org/officeDocument/2006/relationships/image" Target="media/image57.jpeg"/><Relationship Id="rId6" Type="http://schemas.openxmlformats.org/officeDocument/2006/relationships/image" Target="media/image3.jpeg"/><Relationship Id="rId59" Type="http://schemas.openxmlformats.org/officeDocument/2006/relationships/image" Target="media/image56.jpeg"/><Relationship Id="rId58" Type="http://schemas.openxmlformats.org/officeDocument/2006/relationships/image" Target="media/image55.jpeg"/><Relationship Id="rId57" Type="http://schemas.openxmlformats.org/officeDocument/2006/relationships/image" Target="media/image54.jpe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jpeg"/><Relationship Id="rId53" Type="http://schemas.openxmlformats.org/officeDocument/2006/relationships/image" Target="media/image50.jpeg"/><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jpe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pn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jpe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png"/><Relationship Id="rId31" Type="http://schemas.openxmlformats.org/officeDocument/2006/relationships/image" Target="media/image28.jpe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pn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165</Pages>
  <Words>18353</Words>
  <Characters>104614</Characters>
  <Lines>871</Lines>
  <Paragraphs>245</Paragraphs>
  <TotalTime>42</TotalTime>
  <ScaleCrop>false</ScaleCrop>
  <LinksUpToDate>false</LinksUpToDate>
  <CharactersWithSpaces>122722</CharactersWithSpaces>
  <Application>WPS Office_11.1.0.8415_F1E327BC-269C-435d-A152-05C5408002CA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2019-02-25T09:16:00Z</dcterms:created>
  <dc:creator>赵福</dc:creator>
  <cp:lastModifiedBy>lenovo</cp:lastModifiedBy>
  <dcterms:modified xsi:type="dcterms:W3CDTF">2019-03-13T01:06:08Z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2052-11.1.0.8415</vt:lpwstr>
  </property>
</Properties>
</file>